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3D0E" w14:textId="54ECC2B3" w:rsidR="00944AFC" w:rsidRPr="006B607B" w:rsidRDefault="00C96721" w:rsidP="006375D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30288830"/>
      <w:r w:rsidRPr="006B607B">
        <w:rPr>
          <w:rFonts w:ascii="Times New Roman" w:hAnsi="Times New Roman" w:cs="Times New Roman"/>
          <w:sz w:val="24"/>
          <w:szCs w:val="24"/>
        </w:rPr>
        <w:t xml:space="preserve">2918 </w:t>
      </w:r>
      <w:r w:rsidR="00944AFC" w:rsidRPr="006B607B">
        <w:rPr>
          <w:rFonts w:ascii="Times New Roman" w:hAnsi="Times New Roman" w:cs="Times New Roman"/>
          <w:sz w:val="24"/>
          <w:szCs w:val="24"/>
        </w:rPr>
        <w:t>EKONOMSKI INSTITUT, ZAGREB</w:t>
      </w:r>
    </w:p>
    <w:p w14:paraId="0281609E" w14:textId="7EF58978" w:rsidR="00E503B9" w:rsidRPr="006B607B" w:rsidRDefault="00AB1D71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21</w:t>
      </w:r>
      <w:r w:rsidR="00E503B9" w:rsidRPr="006B607B">
        <w:rPr>
          <w:rFonts w:ascii="Times New Roman" w:hAnsi="Times New Roman" w:cs="Times New Roman"/>
          <w:sz w:val="24"/>
          <w:szCs w:val="24"/>
        </w:rPr>
        <w:t>. ožujka 202</w:t>
      </w:r>
      <w:r w:rsidRPr="006B607B">
        <w:rPr>
          <w:rFonts w:ascii="Times New Roman" w:hAnsi="Times New Roman" w:cs="Times New Roman"/>
          <w:sz w:val="24"/>
          <w:szCs w:val="24"/>
        </w:rPr>
        <w:t>5</w:t>
      </w:r>
      <w:r w:rsidR="00E503B9" w:rsidRPr="006B607B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0DA05BCB" w14:textId="77777777" w:rsidR="009E6600" w:rsidRPr="006B607B" w:rsidRDefault="009E660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E56366" w14:textId="77777777" w:rsidR="009E6600" w:rsidRPr="006B607B" w:rsidRDefault="009E660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E02FC" w14:textId="77777777" w:rsidR="009E6600" w:rsidRPr="006B607B" w:rsidRDefault="009E660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F721AA" w14:textId="3B231373" w:rsidR="00944AFC" w:rsidRPr="006B607B" w:rsidRDefault="00E503B9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607B">
        <w:rPr>
          <w:rFonts w:ascii="Times New Roman" w:hAnsi="Times New Roman" w:cs="Times New Roman"/>
          <w:b/>
          <w:bCs/>
          <w:sz w:val="24"/>
          <w:szCs w:val="24"/>
        </w:rPr>
        <w:t xml:space="preserve">OBRAZLOŽENJE OPĆEG DIJELA </w:t>
      </w:r>
      <w:r w:rsidR="00944AFC" w:rsidRPr="006B607B">
        <w:rPr>
          <w:rFonts w:ascii="Times New Roman" w:hAnsi="Times New Roman" w:cs="Times New Roman"/>
          <w:b/>
          <w:bCs/>
          <w:sz w:val="24"/>
          <w:szCs w:val="24"/>
        </w:rPr>
        <w:t>IZVRŠENJ</w:t>
      </w:r>
      <w:r w:rsidRPr="006B607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944AFC" w:rsidRPr="006B607B">
        <w:rPr>
          <w:rFonts w:ascii="Times New Roman" w:hAnsi="Times New Roman" w:cs="Times New Roman"/>
          <w:b/>
          <w:bCs/>
          <w:sz w:val="24"/>
          <w:szCs w:val="24"/>
        </w:rPr>
        <w:t xml:space="preserve"> FINANCIJSKOG PLANA ZA 202</w:t>
      </w:r>
      <w:r w:rsidR="00126A7A" w:rsidRPr="006B607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44AFC" w:rsidRPr="006B607B">
        <w:rPr>
          <w:rFonts w:ascii="Times New Roman" w:hAnsi="Times New Roman" w:cs="Times New Roman"/>
          <w:b/>
          <w:bCs/>
          <w:sz w:val="24"/>
          <w:szCs w:val="24"/>
        </w:rPr>
        <w:t>. GODINU</w:t>
      </w:r>
      <w:r w:rsidRPr="006B6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233B3A2" w14:textId="77777777" w:rsidR="009E6600" w:rsidRPr="006B607B" w:rsidRDefault="009E660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05FCC" w14:textId="77777777" w:rsidR="009E6600" w:rsidRPr="006B607B" w:rsidRDefault="009E6600" w:rsidP="006375D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0C1F8" w14:textId="5ACD97EA" w:rsidR="009E6600" w:rsidRPr="006B607B" w:rsidRDefault="00C85062" w:rsidP="009E6600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O</w:t>
      </w:r>
      <w:r w:rsidR="003D3477" w:rsidRPr="006B607B">
        <w:rPr>
          <w:rFonts w:ascii="Times New Roman" w:hAnsi="Times New Roman" w:cs="Times New Roman"/>
          <w:sz w:val="24"/>
          <w:szCs w:val="24"/>
        </w:rPr>
        <w:t>brazloženje općeg dijela Izvještaja o izvršenju financijskog plana obuhvaća niz prikaza izvršenja kroz zadane tabele priloga „Izvještaj o izvršenju financijskog plana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 za 202</w:t>
      </w:r>
      <w:r w:rsidR="00126A7A" w:rsidRPr="006B607B">
        <w:rPr>
          <w:rFonts w:ascii="Times New Roman" w:hAnsi="Times New Roman" w:cs="Times New Roman"/>
          <w:sz w:val="24"/>
          <w:szCs w:val="24"/>
        </w:rPr>
        <w:t>4</w:t>
      </w:r>
      <w:r w:rsidR="00C72ECE" w:rsidRPr="006B607B">
        <w:rPr>
          <w:rFonts w:ascii="Times New Roman" w:hAnsi="Times New Roman" w:cs="Times New Roman"/>
          <w:sz w:val="24"/>
          <w:szCs w:val="24"/>
        </w:rPr>
        <w:t>. godinu</w:t>
      </w:r>
      <w:r w:rsidR="003D3477" w:rsidRPr="006B607B">
        <w:rPr>
          <w:rFonts w:ascii="Times New Roman" w:hAnsi="Times New Roman" w:cs="Times New Roman"/>
          <w:sz w:val="24"/>
          <w:szCs w:val="24"/>
        </w:rPr>
        <w:t>“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3D3477" w:rsidRPr="006B607B">
        <w:rPr>
          <w:rFonts w:ascii="Times New Roman" w:hAnsi="Times New Roman" w:cs="Times New Roman"/>
          <w:sz w:val="24"/>
          <w:szCs w:val="24"/>
        </w:rPr>
        <w:t xml:space="preserve"> koj</w:t>
      </w:r>
      <w:r w:rsidR="00DB1586" w:rsidRPr="006B607B">
        <w:rPr>
          <w:rFonts w:ascii="Times New Roman" w:hAnsi="Times New Roman" w:cs="Times New Roman"/>
          <w:sz w:val="24"/>
          <w:szCs w:val="24"/>
        </w:rPr>
        <w:t>i</w:t>
      </w:r>
      <w:r w:rsidR="003D3477" w:rsidRPr="006B607B">
        <w:rPr>
          <w:rFonts w:ascii="Times New Roman" w:hAnsi="Times New Roman" w:cs="Times New Roman"/>
          <w:sz w:val="24"/>
          <w:szCs w:val="24"/>
        </w:rPr>
        <w:t xml:space="preserve"> se sastoj</w:t>
      </w:r>
      <w:r w:rsidR="00DB1586" w:rsidRPr="006B607B">
        <w:rPr>
          <w:rFonts w:ascii="Times New Roman" w:hAnsi="Times New Roman" w:cs="Times New Roman"/>
          <w:sz w:val="24"/>
          <w:szCs w:val="24"/>
        </w:rPr>
        <w:t>i</w:t>
      </w:r>
      <w:r w:rsidR="003D3477" w:rsidRPr="006B607B"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261FE4BC" w14:textId="7CFFA37A" w:rsidR="00126A7A" w:rsidRPr="006B607B" w:rsidRDefault="00126A7A" w:rsidP="003935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Sažetka Računa prihoda i rashoda i Računa financiranja </w:t>
      </w:r>
      <w:r w:rsidR="00DB1586" w:rsidRPr="006B607B">
        <w:rPr>
          <w:rFonts w:ascii="Times New Roman" w:hAnsi="Times New Roman" w:cs="Times New Roman"/>
          <w:sz w:val="24"/>
          <w:szCs w:val="24"/>
        </w:rPr>
        <w:t>(A)</w:t>
      </w:r>
    </w:p>
    <w:p w14:paraId="3096C023" w14:textId="5818F3F2" w:rsidR="00126A7A" w:rsidRPr="006B607B" w:rsidRDefault="003935F6" w:rsidP="003935F6">
      <w:pPr>
        <w:pStyle w:val="NormalWeb"/>
        <w:ind w:left="360"/>
        <w:rPr>
          <w:lang w:val="hr-HR"/>
        </w:rPr>
      </w:pPr>
      <w:r w:rsidRPr="006B607B">
        <w:rPr>
          <w:lang w:val="hr-HR"/>
        </w:rPr>
        <w:t xml:space="preserve">A.1 </w:t>
      </w:r>
      <w:r w:rsidR="00126A7A" w:rsidRPr="006B607B">
        <w:rPr>
          <w:lang w:val="hr-HR"/>
        </w:rPr>
        <w:t xml:space="preserve">Računa prihoda i rashoda: </w:t>
      </w:r>
    </w:p>
    <w:p w14:paraId="2255CF44" w14:textId="441A5524" w:rsidR="00126A7A" w:rsidRPr="006B607B" w:rsidRDefault="00126A7A" w:rsidP="00126A7A">
      <w:pPr>
        <w:pStyle w:val="NormalWeb"/>
        <w:numPr>
          <w:ilvl w:val="0"/>
          <w:numId w:val="3"/>
        </w:numPr>
        <w:rPr>
          <w:lang w:val="hr-HR"/>
        </w:rPr>
      </w:pPr>
      <w:r w:rsidRPr="006B607B">
        <w:rPr>
          <w:lang w:val="hr-HR"/>
        </w:rPr>
        <w:t>Izvještaj o prihodima prema eko</w:t>
      </w:r>
      <w:r w:rsidR="006660E7" w:rsidRPr="006B607B">
        <w:rPr>
          <w:lang w:val="hr-HR"/>
        </w:rPr>
        <w:t>no</w:t>
      </w:r>
      <w:r w:rsidRPr="006B607B">
        <w:rPr>
          <w:lang w:val="hr-HR"/>
        </w:rPr>
        <w:t>mskoj klasifikaciji (A1)</w:t>
      </w:r>
    </w:p>
    <w:p w14:paraId="3F7E19CC" w14:textId="0A42D690" w:rsidR="00126A7A" w:rsidRPr="006B607B" w:rsidRDefault="00126A7A" w:rsidP="00126A7A">
      <w:pPr>
        <w:pStyle w:val="NormalWeb"/>
        <w:numPr>
          <w:ilvl w:val="0"/>
          <w:numId w:val="3"/>
        </w:numPr>
        <w:rPr>
          <w:lang w:val="hr-HR"/>
        </w:rPr>
      </w:pPr>
      <w:r w:rsidRPr="006B607B">
        <w:rPr>
          <w:lang w:val="hr-HR"/>
        </w:rPr>
        <w:t>Izvještaj o rashodima prema ekonomskoj klasifikaciji (A1)</w:t>
      </w:r>
    </w:p>
    <w:p w14:paraId="50FD214B" w14:textId="412E1B4B" w:rsidR="00126A7A" w:rsidRPr="006B607B" w:rsidRDefault="00126A7A" w:rsidP="00126A7A">
      <w:pPr>
        <w:pStyle w:val="NormalWeb"/>
        <w:numPr>
          <w:ilvl w:val="0"/>
          <w:numId w:val="3"/>
        </w:numPr>
        <w:rPr>
          <w:lang w:val="hr-HR"/>
        </w:rPr>
      </w:pPr>
      <w:r w:rsidRPr="006B607B">
        <w:rPr>
          <w:lang w:val="hr-HR"/>
        </w:rPr>
        <w:t>Izvještaj o prihodima i rashodima prema izvorima financiranja (A2)</w:t>
      </w:r>
    </w:p>
    <w:p w14:paraId="19F31FED" w14:textId="20D9E2F1" w:rsidR="00126A7A" w:rsidRPr="006B607B" w:rsidRDefault="00126A7A" w:rsidP="00126A7A">
      <w:pPr>
        <w:pStyle w:val="NormalWeb"/>
        <w:numPr>
          <w:ilvl w:val="0"/>
          <w:numId w:val="3"/>
        </w:numPr>
        <w:rPr>
          <w:lang w:val="hr-HR"/>
        </w:rPr>
      </w:pPr>
      <w:r w:rsidRPr="006B607B">
        <w:rPr>
          <w:lang w:val="hr-HR"/>
        </w:rPr>
        <w:t>Izvještaj o rashodima prema funkcijskoj klasifikaciji (A3)</w:t>
      </w:r>
    </w:p>
    <w:p w14:paraId="1F1C8D3C" w14:textId="77777777" w:rsidR="00126A7A" w:rsidRPr="006B607B" w:rsidRDefault="00126A7A" w:rsidP="00126A7A">
      <w:pPr>
        <w:pStyle w:val="NormalWeb"/>
        <w:ind w:left="720"/>
        <w:rPr>
          <w:lang w:val="hr-HR"/>
        </w:rPr>
      </w:pPr>
      <w:r w:rsidRPr="006B607B">
        <w:rPr>
          <w:lang w:val="hr-HR"/>
        </w:rPr>
        <w:t> </w:t>
      </w:r>
    </w:p>
    <w:p w14:paraId="2562EAE0" w14:textId="0290F8F6" w:rsidR="00126A7A" w:rsidRPr="006B607B" w:rsidRDefault="003935F6" w:rsidP="003935F6">
      <w:pPr>
        <w:pStyle w:val="NormalWeb"/>
        <w:ind w:left="360"/>
        <w:rPr>
          <w:lang w:val="hr-HR"/>
        </w:rPr>
      </w:pPr>
      <w:r w:rsidRPr="006B607B">
        <w:rPr>
          <w:lang w:val="hr-HR"/>
        </w:rPr>
        <w:t xml:space="preserve">A.2 </w:t>
      </w:r>
      <w:r w:rsidR="00126A7A" w:rsidRPr="006B607B">
        <w:rPr>
          <w:lang w:val="hr-HR"/>
        </w:rPr>
        <w:t>Računa financiranja:</w:t>
      </w:r>
    </w:p>
    <w:p w14:paraId="5ED95011" w14:textId="0B1BD3EC" w:rsidR="00126A7A" w:rsidRPr="006B607B" w:rsidRDefault="00126A7A" w:rsidP="00126A7A">
      <w:pPr>
        <w:pStyle w:val="NormalWeb"/>
        <w:numPr>
          <w:ilvl w:val="0"/>
          <w:numId w:val="6"/>
        </w:numPr>
        <w:rPr>
          <w:lang w:val="hr-HR"/>
        </w:rPr>
      </w:pPr>
      <w:r w:rsidRPr="006B607B">
        <w:rPr>
          <w:lang w:val="hr-HR"/>
        </w:rPr>
        <w:t>Izvještaj računa financiranja prema ekonomskoj klasifikaciji (B1)</w:t>
      </w:r>
    </w:p>
    <w:p w14:paraId="51E17AF6" w14:textId="12F744F6" w:rsidR="00126A7A" w:rsidRPr="006B607B" w:rsidRDefault="00126A7A" w:rsidP="00126A7A">
      <w:pPr>
        <w:pStyle w:val="NormalWeb"/>
        <w:numPr>
          <w:ilvl w:val="0"/>
          <w:numId w:val="6"/>
        </w:numPr>
        <w:rPr>
          <w:lang w:val="hr-HR"/>
        </w:rPr>
      </w:pPr>
      <w:r w:rsidRPr="006B607B">
        <w:rPr>
          <w:lang w:val="hr-HR"/>
        </w:rPr>
        <w:t>Izvještaj računa financiranja prema izvorima financiranja (B2)</w:t>
      </w:r>
    </w:p>
    <w:p w14:paraId="6DE1D4F2" w14:textId="77777777" w:rsidR="00936A3D" w:rsidRPr="006B607B" w:rsidRDefault="00936A3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940F3" w14:textId="102B0407" w:rsidR="009E6600" w:rsidRPr="006B607B" w:rsidRDefault="00C30C00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Izvještaj o izvršenju financijskog plana za 2024. godinu </w:t>
      </w:r>
      <w:r w:rsidR="005D335C" w:rsidRPr="006B607B">
        <w:rPr>
          <w:rFonts w:ascii="Times New Roman" w:hAnsi="Times New Roman" w:cs="Times New Roman"/>
          <w:sz w:val="24"/>
          <w:szCs w:val="24"/>
        </w:rPr>
        <w:t>je sastavljen po načelu modificiranog novčanog tijeka</w:t>
      </w:r>
      <w:r w:rsidR="009B33F7" w:rsidRPr="006B607B">
        <w:rPr>
          <w:rFonts w:ascii="Times New Roman" w:hAnsi="Times New Roman" w:cs="Times New Roman"/>
          <w:sz w:val="24"/>
          <w:szCs w:val="24"/>
        </w:rPr>
        <w:t xml:space="preserve"> za razliku od metode izrade godišnjih financijskih izvještaja koji s</w:t>
      </w:r>
      <w:r w:rsidR="00F0407F" w:rsidRPr="006B607B">
        <w:rPr>
          <w:rFonts w:ascii="Times New Roman" w:hAnsi="Times New Roman" w:cs="Times New Roman"/>
          <w:sz w:val="24"/>
          <w:szCs w:val="24"/>
        </w:rPr>
        <w:t>e sastavljaju metodom modificiranog proračunskog računovodstva prema nastanku poslovnog događaja.</w:t>
      </w:r>
    </w:p>
    <w:p w14:paraId="6B869ED7" w14:textId="64E3D850" w:rsidR="00AE1F35" w:rsidRPr="006B607B" w:rsidRDefault="00AE1F3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Tabelarni prikazi izvršenja </w:t>
      </w:r>
      <w:r w:rsidR="002D2AA3">
        <w:rPr>
          <w:rFonts w:ascii="Times New Roman" w:hAnsi="Times New Roman" w:cs="Times New Roman"/>
          <w:sz w:val="24"/>
          <w:szCs w:val="24"/>
        </w:rPr>
        <w:t>financijskog plan</w:t>
      </w:r>
      <w:r w:rsidRPr="006B607B">
        <w:rPr>
          <w:rFonts w:ascii="Times New Roman" w:hAnsi="Times New Roman" w:cs="Times New Roman"/>
          <w:sz w:val="24"/>
          <w:szCs w:val="24"/>
        </w:rPr>
        <w:t>a zadani su predlošcima nadležnog ministarstva.</w:t>
      </w:r>
    </w:p>
    <w:p w14:paraId="76CD26A3" w14:textId="77777777" w:rsidR="009E6600" w:rsidRPr="006B607B" w:rsidRDefault="009E6600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2503D" w14:textId="77777777" w:rsidR="00F0407F" w:rsidRPr="006B607B" w:rsidRDefault="00F0407F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A7BAD3" w14:textId="77777777" w:rsidR="005D335C" w:rsidRPr="006B607B" w:rsidRDefault="005D335C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67D41" w14:textId="1CB9F619" w:rsidR="00C72ECE" w:rsidRPr="0066624A" w:rsidRDefault="00C72ECE" w:rsidP="0066624A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rFonts w:ascii="Times New Roman" w:hAnsi="Times New Roman" w:cs="Times New Roman"/>
          <w:sz w:val="24"/>
          <w:szCs w:val="24"/>
        </w:rPr>
        <w:t>SAŽETAK RAČUNA PRIHODA I RASHODA I RAČUNA FINANCIRANJA</w:t>
      </w:r>
    </w:p>
    <w:p w14:paraId="04F38C73" w14:textId="67CCAD93" w:rsidR="009E6600" w:rsidRPr="006B607B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U sažetku Računa prihoda i rashoda i Računa financiranja prikazan</w:t>
      </w:r>
      <w:r w:rsidR="00E22C76" w:rsidRPr="006B607B">
        <w:rPr>
          <w:rFonts w:ascii="Times New Roman" w:hAnsi="Times New Roman" w:cs="Times New Roman"/>
          <w:sz w:val="24"/>
          <w:szCs w:val="24"/>
        </w:rPr>
        <w:t xml:space="preserve">i su ukupni </w:t>
      </w:r>
      <w:r w:rsidR="00C30C00" w:rsidRPr="006B607B">
        <w:rPr>
          <w:rFonts w:ascii="Times New Roman" w:hAnsi="Times New Roman" w:cs="Times New Roman"/>
          <w:sz w:val="24"/>
          <w:szCs w:val="24"/>
        </w:rPr>
        <w:t xml:space="preserve">planirani i ostvareni </w:t>
      </w:r>
      <w:r w:rsidR="00E22C76" w:rsidRPr="006B607B">
        <w:rPr>
          <w:rFonts w:ascii="Times New Roman" w:hAnsi="Times New Roman" w:cs="Times New Roman"/>
          <w:sz w:val="24"/>
          <w:szCs w:val="24"/>
        </w:rPr>
        <w:t>prihodi i rashodi</w:t>
      </w:r>
      <w:r w:rsidR="00C17840" w:rsidRPr="006B607B">
        <w:rPr>
          <w:rFonts w:ascii="Times New Roman" w:hAnsi="Times New Roman" w:cs="Times New Roman"/>
          <w:sz w:val="24"/>
          <w:szCs w:val="24"/>
        </w:rPr>
        <w:t>, primici i izdaci s donosom i odnosom sredstava</w:t>
      </w:r>
      <w:r w:rsidR="00C30C00" w:rsidRPr="006B607B">
        <w:rPr>
          <w:rFonts w:ascii="Times New Roman" w:hAnsi="Times New Roman" w:cs="Times New Roman"/>
          <w:sz w:val="24"/>
          <w:szCs w:val="24"/>
        </w:rPr>
        <w:t xml:space="preserve">. </w:t>
      </w:r>
      <w:r w:rsidR="002D2AA3">
        <w:rPr>
          <w:rFonts w:ascii="Times New Roman" w:hAnsi="Times New Roman" w:cs="Times New Roman"/>
          <w:sz w:val="24"/>
          <w:szCs w:val="24"/>
        </w:rPr>
        <w:t>Prikazana su dva indeksa: indeks i</w:t>
      </w:r>
      <w:r w:rsidR="005D335C" w:rsidRPr="006B607B">
        <w:rPr>
          <w:rFonts w:ascii="Times New Roman" w:hAnsi="Times New Roman" w:cs="Times New Roman"/>
          <w:sz w:val="24"/>
          <w:szCs w:val="24"/>
        </w:rPr>
        <w:t>zvršenj</w:t>
      </w:r>
      <w:r w:rsidR="002D2AA3">
        <w:rPr>
          <w:rFonts w:ascii="Times New Roman" w:hAnsi="Times New Roman" w:cs="Times New Roman"/>
          <w:sz w:val="24"/>
          <w:szCs w:val="24"/>
        </w:rPr>
        <w:t>a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2D2AA3">
        <w:rPr>
          <w:rFonts w:ascii="Times New Roman" w:hAnsi="Times New Roman" w:cs="Times New Roman"/>
          <w:sz w:val="24"/>
          <w:szCs w:val="24"/>
        </w:rPr>
        <w:t xml:space="preserve">ostvarenih rashoda </w:t>
      </w:r>
      <w:r w:rsidRPr="006B607B">
        <w:rPr>
          <w:rFonts w:ascii="Times New Roman" w:hAnsi="Times New Roman" w:cs="Times New Roman"/>
          <w:sz w:val="24"/>
          <w:szCs w:val="24"/>
        </w:rPr>
        <w:t>u 202</w:t>
      </w:r>
      <w:r w:rsidR="00C30C00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 xml:space="preserve">. </w:t>
      </w:r>
      <w:r w:rsidR="002D2AA3">
        <w:rPr>
          <w:rFonts w:ascii="Times New Roman" w:hAnsi="Times New Roman" w:cs="Times New Roman"/>
          <w:sz w:val="24"/>
          <w:szCs w:val="24"/>
        </w:rPr>
        <w:t>godini u odnosu na</w:t>
      </w:r>
      <w:r w:rsidR="005D335C" w:rsidRPr="006B607B">
        <w:rPr>
          <w:rFonts w:ascii="Times New Roman" w:hAnsi="Times New Roman" w:cs="Times New Roman"/>
          <w:sz w:val="24"/>
          <w:szCs w:val="24"/>
        </w:rPr>
        <w:t xml:space="preserve"> izvršenj</w:t>
      </w:r>
      <w:r w:rsidR="002D2AA3">
        <w:rPr>
          <w:rFonts w:ascii="Times New Roman" w:hAnsi="Times New Roman" w:cs="Times New Roman"/>
          <w:sz w:val="24"/>
          <w:szCs w:val="24"/>
        </w:rPr>
        <w:t xml:space="preserve">e rashoda </w:t>
      </w:r>
      <w:r w:rsidR="005D335C" w:rsidRPr="006B607B">
        <w:rPr>
          <w:rFonts w:ascii="Times New Roman" w:hAnsi="Times New Roman" w:cs="Times New Roman"/>
          <w:sz w:val="24"/>
          <w:szCs w:val="24"/>
        </w:rPr>
        <w:t>u 2023. godini</w:t>
      </w:r>
      <w:r w:rsidR="002D2AA3">
        <w:rPr>
          <w:rFonts w:ascii="Times New Roman" w:hAnsi="Times New Roman" w:cs="Times New Roman"/>
          <w:sz w:val="24"/>
          <w:szCs w:val="24"/>
        </w:rPr>
        <w:t xml:space="preserve"> i indeks ostvarenja financijskog plana.</w:t>
      </w:r>
    </w:p>
    <w:p w14:paraId="45717BBE" w14:textId="5ABB72B3" w:rsidR="00F903B5" w:rsidRPr="006B607B" w:rsidRDefault="0066624A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6624A">
        <w:rPr>
          <w:noProof/>
        </w:rPr>
        <w:lastRenderedPageBreak/>
        <w:drawing>
          <wp:inline distT="0" distB="0" distL="0" distR="0" wp14:anchorId="642C1E6F" wp14:editId="0AB350D4">
            <wp:extent cx="5760720" cy="3636645"/>
            <wp:effectExtent l="0" t="0" r="0" b="1905"/>
            <wp:docPr id="186936036" name="Picture 1" descr="A table with numbers and numb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36036" name="Picture 1" descr="A table with numbers and numbers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0967D3" w14:textId="77777777" w:rsidR="00F0407F" w:rsidRPr="006B607B" w:rsidRDefault="00F0407F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D14D72" w14:textId="7DB94E9A" w:rsidR="00C72ECE" w:rsidRPr="006B607B" w:rsidRDefault="00C72E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Donos sredstava iz prethodne godine</w:t>
      </w:r>
    </w:p>
    <w:p w14:paraId="27950923" w14:textId="77777777" w:rsidR="00205C01" w:rsidRDefault="00673BF0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Planski i</w:t>
      </w:r>
      <w:r w:rsidR="00C72ECE" w:rsidRPr="006B607B">
        <w:rPr>
          <w:rFonts w:ascii="Times New Roman" w:hAnsi="Times New Roman" w:cs="Times New Roman"/>
          <w:sz w:val="24"/>
          <w:szCs w:val="24"/>
        </w:rPr>
        <w:t>znos donosa sredstava se procjenjiva</w:t>
      </w:r>
      <w:r w:rsidR="00926FF2" w:rsidRPr="006B607B">
        <w:rPr>
          <w:rFonts w:ascii="Times New Roman" w:hAnsi="Times New Roman" w:cs="Times New Roman"/>
          <w:sz w:val="24"/>
          <w:szCs w:val="24"/>
        </w:rPr>
        <w:t>o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 u prosincu 202</w:t>
      </w:r>
      <w:r w:rsidRPr="006B607B">
        <w:rPr>
          <w:rFonts w:ascii="Times New Roman" w:hAnsi="Times New Roman" w:cs="Times New Roman"/>
          <w:sz w:val="24"/>
          <w:szCs w:val="24"/>
        </w:rPr>
        <w:t>3</w:t>
      </w:r>
      <w:r w:rsidR="00C72ECE" w:rsidRPr="006B607B">
        <w:rPr>
          <w:rFonts w:ascii="Times New Roman" w:hAnsi="Times New Roman" w:cs="Times New Roman"/>
          <w:sz w:val="24"/>
          <w:szCs w:val="24"/>
        </w:rPr>
        <w:t>. godine u skladu s informacijama dostupnim u vrijeme usvajanja Financijskog plana za 202</w:t>
      </w:r>
      <w:r w:rsidRPr="006B607B">
        <w:rPr>
          <w:rFonts w:ascii="Times New Roman" w:hAnsi="Times New Roman" w:cs="Times New Roman"/>
          <w:sz w:val="24"/>
          <w:szCs w:val="24"/>
        </w:rPr>
        <w:t>4</w:t>
      </w:r>
      <w:r w:rsidR="00C72ECE" w:rsidRPr="006B607B">
        <w:rPr>
          <w:rFonts w:ascii="Times New Roman" w:hAnsi="Times New Roman" w:cs="Times New Roman"/>
          <w:sz w:val="24"/>
          <w:szCs w:val="24"/>
        </w:rPr>
        <w:t>. godinu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i procjenama prihoda i rashoda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. 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Prijenos sredstava u 2024. godinu koji se utvrdio </w:t>
      </w:r>
      <w:r w:rsidR="002D2AA3">
        <w:rPr>
          <w:rFonts w:ascii="Times New Roman" w:hAnsi="Times New Roman" w:cs="Times New Roman"/>
          <w:sz w:val="24"/>
          <w:szCs w:val="24"/>
        </w:rPr>
        <w:t>s datumom 31.12.</w:t>
      </w:r>
      <w:r w:rsidR="00926FF2" w:rsidRPr="006B607B">
        <w:rPr>
          <w:rFonts w:ascii="Times New Roman" w:hAnsi="Times New Roman" w:cs="Times New Roman"/>
          <w:sz w:val="24"/>
          <w:szCs w:val="24"/>
        </w:rPr>
        <w:t>2023. godine u iznosu 646.047,80 EUR nije isti kao i donos sredstava utvrđen tijekom 2024. godine</w:t>
      </w:r>
      <w:r w:rsidR="003935F6" w:rsidRPr="006B607B">
        <w:rPr>
          <w:rFonts w:ascii="Times New Roman" w:hAnsi="Times New Roman" w:cs="Times New Roman"/>
          <w:sz w:val="24"/>
          <w:szCs w:val="24"/>
        </w:rPr>
        <w:t>.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CF10AA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3935F6" w:rsidRPr="006B607B">
        <w:rPr>
          <w:rFonts w:ascii="Times New Roman" w:hAnsi="Times New Roman" w:cs="Times New Roman"/>
          <w:sz w:val="24"/>
          <w:szCs w:val="24"/>
        </w:rPr>
        <w:t>K</w:t>
      </w:r>
      <w:r w:rsidR="00CF10AA" w:rsidRPr="006B607B">
        <w:rPr>
          <w:rFonts w:ascii="Times New Roman" w:hAnsi="Times New Roman" w:cs="Times New Roman"/>
          <w:sz w:val="24"/>
          <w:szCs w:val="24"/>
        </w:rPr>
        <w:t>roz korekcije rezultata poslovanja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3935F6" w:rsidRPr="006B607B">
        <w:rPr>
          <w:rFonts w:ascii="Times New Roman" w:hAnsi="Times New Roman" w:cs="Times New Roman"/>
          <w:sz w:val="24"/>
          <w:szCs w:val="24"/>
        </w:rPr>
        <w:t>zabilježili su se t</w:t>
      </w:r>
      <w:r w:rsidR="00926FF2" w:rsidRPr="006B607B">
        <w:rPr>
          <w:rFonts w:ascii="Times New Roman" w:hAnsi="Times New Roman" w:cs="Times New Roman"/>
          <w:sz w:val="24"/>
          <w:szCs w:val="24"/>
        </w:rPr>
        <w:t>ijekom 2024. godine specifični poslovni događaj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i </w:t>
      </w:r>
      <w:r w:rsidR="00205C01">
        <w:rPr>
          <w:rFonts w:ascii="Times New Roman" w:hAnsi="Times New Roman" w:cs="Times New Roman"/>
          <w:sz w:val="24"/>
          <w:szCs w:val="24"/>
        </w:rPr>
        <w:t>i tako utjecali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na 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iznos rezultata </w:t>
      </w:r>
      <w:r w:rsidR="00926FF2" w:rsidRPr="006B607B">
        <w:rPr>
          <w:rFonts w:ascii="Times New Roman" w:hAnsi="Times New Roman" w:cs="Times New Roman"/>
          <w:sz w:val="24"/>
          <w:szCs w:val="24"/>
        </w:rPr>
        <w:t>poslovanja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 koji</w:t>
      </w:r>
      <w:r w:rsidR="00205C01">
        <w:rPr>
          <w:rFonts w:ascii="Times New Roman" w:hAnsi="Times New Roman" w:cs="Times New Roman"/>
          <w:sz w:val="24"/>
          <w:szCs w:val="24"/>
        </w:rPr>
        <w:t xml:space="preserve"> s datumom 01.01.2024. godine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 iznosi 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637.585,10 EUR. Specifični poslovni događaju su 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povrat projektnih sredstava HRZZ-u, </w:t>
      </w:r>
      <w:r w:rsidR="003935F6" w:rsidRPr="006B607B">
        <w:rPr>
          <w:rFonts w:ascii="Times New Roman" w:hAnsi="Times New Roman" w:cs="Times New Roman"/>
          <w:sz w:val="24"/>
          <w:szCs w:val="24"/>
        </w:rPr>
        <w:t>primitak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prihoda za rashode iz proteklih godina, povrat sredstava na </w:t>
      </w:r>
      <w:r w:rsidR="00205C01">
        <w:rPr>
          <w:rFonts w:ascii="Times New Roman" w:hAnsi="Times New Roman" w:cs="Times New Roman"/>
          <w:sz w:val="24"/>
          <w:szCs w:val="24"/>
        </w:rPr>
        <w:t>transakcijski</w:t>
      </w:r>
      <w:r w:rsidR="00926FF2" w:rsidRPr="006B607B">
        <w:rPr>
          <w:rFonts w:ascii="Times New Roman" w:hAnsi="Times New Roman" w:cs="Times New Roman"/>
          <w:sz w:val="24"/>
          <w:szCs w:val="24"/>
        </w:rPr>
        <w:t xml:space="preserve"> račun vezan uz rashode prethodnih godina i slično.</w:t>
      </w:r>
      <w:r w:rsidR="00C72ECE" w:rsidRPr="006B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4CEC8" w14:textId="3E1786A4" w:rsidR="00C72ECE" w:rsidRPr="006B607B" w:rsidRDefault="00673BF0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Donos sredstava iz 2023. godine u 2024. godinu je znatno veći od planiranog </w:t>
      </w:r>
      <w:r w:rsidR="003935F6" w:rsidRPr="006B607B">
        <w:rPr>
          <w:rFonts w:ascii="Times New Roman" w:hAnsi="Times New Roman" w:cs="Times New Roman"/>
          <w:sz w:val="24"/>
          <w:szCs w:val="24"/>
        </w:rPr>
        <w:t xml:space="preserve">dijelom </w:t>
      </w:r>
      <w:r w:rsidRPr="006B607B">
        <w:rPr>
          <w:rFonts w:ascii="Times New Roman" w:hAnsi="Times New Roman" w:cs="Times New Roman"/>
          <w:sz w:val="24"/>
          <w:szCs w:val="24"/>
        </w:rPr>
        <w:t xml:space="preserve">zbog </w:t>
      </w:r>
      <w:r w:rsidR="009E6600" w:rsidRPr="006B607B">
        <w:rPr>
          <w:rFonts w:ascii="Times New Roman" w:hAnsi="Times New Roman" w:cs="Times New Roman"/>
          <w:sz w:val="24"/>
          <w:szCs w:val="24"/>
        </w:rPr>
        <w:t xml:space="preserve">uplate </w:t>
      </w:r>
      <w:r w:rsidR="00AF6CBB" w:rsidRPr="006B607B">
        <w:rPr>
          <w:rFonts w:ascii="Times New Roman" w:hAnsi="Times New Roman" w:cs="Times New Roman"/>
          <w:sz w:val="24"/>
          <w:szCs w:val="24"/>
        </w:rPr>
        <w:t xml:space="preserve">prve rate </w:t>
      </w:r>
      <w:r w:rsidR="009E6600" w:rsidRPr="006B607B">
        <w:rPr>
          <w:rFonts w:ascii="Times New Roman" w:hAnsi="Times New Roman" w:cs="Times New Roman"/>
          <w:sz w:val="24"/>
          <w:szCs w:val="24"/>
        </w:rPr>
        <w:t>sredstava Mehanizma za oporavak i otpornost krajem 202</w:t>
      </w:r>
      <w:r w:rsidR="00AF6CBB" w:rsidRPr="006B607B">
        <w:rPr>
          <w:rFonts w:ascii="Times New Roman" w:hAnsi="Times New Roman" w:cs="Times New Roman"/>
          <w:sz w:val="24"/>
          <w:szCs w:val="24"/>
        </w:rPr>
        <w:t>3</w:t>
      </w:r>
      <w:r w:rsidR="009E6600" w:rsidRPr="006B607B">
        <w:rPr>
          <w:rFonts w:ascii="Times New Roman" w:hAnsi="Times New Roman" w:cs="Times New Roman"/>
          <w:sz w:val="24"/>
          <w:szCs w:val="24"/>
        </w:rPr>
        <w:t>. godine</w:t>
      </w:r>
      <w:r w:rsidR="00AF6CBB" w:rsidRPr="006B607B">
        <w:rPr>
          <w:rFonts w:ascii="Times New Roman" w:hAnsi="Times New Roman" w:cs="Times New Roman"/>
          <w:sz w:val="24"/>
          <w:szCs w:val="24"/>
        </w:rPr>
        <w:t xml:space="preserve"> u iznosu od 149.304,45 EUR</w:t>
      </w:r>
      <w:r w:rsidR="003935F6" w:rsidRPr="006B607B">
        <w:rPr>
          <w:rFonts w:ascii="Times New Roman" w:hAnsi="Times New Roman" w:cs="Times New Roman"/>
          <w:sz w:val="24"/>
          <w:szCs w:val="24"/>
        </w:rPr>
        <w:t>, a dijelom zbog neutrošenih vlastitih sredstava.</w:t>
      </w:r>
      <w:r w:rsidR="009E6600" w:rsidRPr="006B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A201A" w14:textId="77777777" w:rsidR="00F0407F" w:rsidRPr="006B607B" w:rsidRDefault="00F0407F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314215" w14:textId="08E0E97D" w:rsidR="00C72ECE" w:rsidRPr="006B607B" w:rsidRDefault="00C72E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Ukupni prihodi i rashodi</w:t>
      </w:r>
      <w:r w:rsidR="00C85062" w:rsidRPr="006B607B">
        <w:rPr>
          <w:rFonts w:ascii="Times New Roman" w:hAnsi="Times New Roman" w:cs="Times New Roman"/>
          <w:sz w:val="24"/>
          <w:szCs w:val="24"/>
        </w:rPr>
        <w:t>, primici i izdaci</w:t>
      </w:r>
    </w:p>
    <w:p w14:paraId="4735743B" w14:textId="1D6D5716" w:rsidR="000C0A6B" w:rsidRPr="006B607B" w:rsidRDefault="000C0A6B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U Financijskom planu za 202</w:t>
      </w:r>
      <w:r w:rsidR="00C30C00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>. godinu planirani su ukupni prihodi u iznosu od 2.</w:t>
      </w:r>
      <w:r w:rsidR="00C30C00" w:rsidRPr="006B607B">
        <w:rPr>
          <w:rFonts w:ascii="Times New Roman" w:hAnsi="Times New Roman" w:cs="Times New Roman"/>
          <w:sz w:val="24"/>
          <w:szCs w:val="24"/>
        </w:rPr>
        <w:t>856</w:t>
      </w:r>
      <w:r w:rsidRPr="006B607B">
        <w:rPr>
          <w:rFonts w:ascii="Times New Roman" w:hAnsi="Times New Roman" w:cs="Times New Roman"/>
          <w:sz w:val="24"/>
          <w:szCs w:val="24"/>
        </w:rPr>
        <w:t>.1</w:t>
      </w:r>
      <w:r w:rsidR="00C30C00" w:rsidRPr="006B607B">
        <w:rPr>
          <w:rFonts w:ascii="Times New Roman" w:hAnsi="Times New Roman" w:cs="Times New Roman"/>
          <w:sz w:val="24"/>
          <w:szCs w:val="24"/>
        </w:rPr>
        <w:t>71</w:t>
      </w:r>
      <w:r w:rsidR="007D5567" w:rsidRPr="006B607B">
        <w:rPr>
          <w:rFonts w:ascii="Times New Roman" w:hAnsi="Times New Roman" w:cs="Times New Roman"/>
          <w:sz w:val="24"/>
          <w:szCs w:val="24"/>
        </w:rPr>
        <w:t>,00</w:t>
      </w:r>
      <w:r w:rsidRPr="006B607B">
        <w:rPr>
          <w:rFonts w:ascii="Times New Roman" w:hAnsi="Times New Roman" w:cs="Times New Roman"/>
          <w:sz w:val="24"/>
          <w:szCs w:val="24"/>
        </w:rPr>
        <w:t xml:space="preserve"> EUR, a ostvareni prihodi iznose 2.</w:t>
      </w:r>
      <w:r w:rsidR="000041A8">
        <w:rPr>
          <w:rFonts w:ascii="Times New Roman" w:hAnsi="Times New Roman" w:cs="Times New Roman"/>
          <w:sz w:val="24"/>
          <w:szCs w:val="24"/>
        </w:rPr>
        <w:t>8</w:t>
      </w:r>
      <w:r w:rsidR="00C30C00" w:rsidRPr="006B607B">
        <w:rPr>
          <w:rFonts w:ascii="Times New Roman" w:hAnsi="Times New Roman" w:cs="Times New Roman"/>
          <w:sz w:val="24"/>
          <w:szCs w:val="24"/>
        </w:rPr>
        <w:t>49</w:t>
      </w:r>
      <w:r w:rsidRPr="006B607B">
        <w:rPr>
          <w:rFonts w:ascii="Times New Roman" w:hAnsi="Times New Roman" w:cs="Times New Roman"/>
          <w:sz w:val="24"/>
          <w:szCs w:val="24"/>
        </w:rPr>
        <w:t>.</w:t>
      </w:r>
      <w:r w:rsidR="00C30C00" w:rsidRPr="006B607B">
        <w:rPr>
          <w:rFonts w:ascii="Times New Roman" w:hAnsi="Times New Roman" w:cs="Times New Roman"/>
          <w:sz w:val="24"/>
          <w:szCs w:val="24"/>
        </w:rPr>
        <w:t>031</w:t>
      </w:r>
      <w:r w:rsidR="007D5567" w:rsidRPr="006B607B">
        <w:rPr>
          <w:rFonts w:ascii="Times New Roman" w:hAnsi="Times New Roman" w:cs="Times New Roman"/>
          <w:sz w:val="24"/>
          <w:szCs w:val="24"/>
        </w:rPr>
        <w:t>,</w:t>
      </w:r>
      <w:r w:rsidR="00C30C00" w:rsidRPr="006B607B">
        <w:rPr>
          <w:rFonts w:ascii="Times New Roman" w:hAnsi="Times New Roman" w:cs="Times New Roman"/>
          <w:sz w:val="24"/>
          <w:szCs w:val="24"/>
        </w:rPr>
        <w:t>46</w:t>
      </w:r>
      <w:r w:rsidRPr="006B607B">
        <w:rPr>
          <w:rFonts w:ascii="Times New Roman" w:hAnsi="Times New Roman" w:cs="Times New Roman"/>
          <w:sz w:val="24"/>
          <w:szCs w:val="24"/>
        </w:rPr>
        <w:t xml:space="preserve"> EUR</w:t>
      </w:r>
      <w:r w:rsidR="007D5567" w:rsidRPr="006B607B">
        <w:rPr>
          <w:rFonts w:ascii="Times New Roman" w:hAnsi="Times New Roman" w:cs="Times New Roman"/>
          <w:sz w:val="24"/>
          <w:szCs w:val="24"/>
        </w:rPr>
        <w:t xml:space="preserve"> i </w:t>
      </w:r>
      <w:r w:rsidR="00C30C00" w:rsidRPr="006B607B">
        <w:rPr>
          <w:rFonts w:ascii="Times New Roman" w:hAnsi="Times New Roman" w:cs="Times New Roman"/>
          <w:sz w:val="24"/>
          <w:szCs w:val="24"/>
        </w:rPr>
        <w:t>manji</w:t>
      </w:r>
      <w:r w:rsidRPr="006B607B">
        <w:rPr>
          <w:rFonts w:ascii="Times New Roman" w:hAnsi="Times New Roman" w:cs="Times New Roman"/>
          <w:sz w:val="24"/>
          <w:szCs w:val="24"/>
        </w:rPr>
        <w:t xml:space="preserve"> su </w:t>
      </w:r>
      <w:r w:rsidR="007D5567" w:rsidRPr="006B607B">
        <w:rPr>
          <w:rFonts w:ascii="Times New Roman" w:hAnsi="Times New Roman" w:cs="Times New Roman"/>
          <w:sz w:val="24"/>
          <w:szCs w:val="24"/>
        </w:rPr>
        <w:t xml:space="preserve">u odnosu na planirano </w:t>
      </w:r>
      <w:r w:rsidRPr="006B607B">
        <w:rPr>
          <w:rFonts w:ascii="Times New Roman" w:hAnsi="Times New Roman" w:cs="Times New Roman"/>
          <w:sz w:val="24"/>
          <w:szCs w:val="24"/>
        </w:rPr>
        <w:t>za 0,</w:t>
      </w:r>
      <w:r w:rsidR="00C30C00" w:rsidRPr="006B607B">
        <w:rPr>
          <w:rFonts w:ascii="Times New Roman" w:hAnsi="Times New Roman" w:cs="Times New Roman"/>
          <w:sz w:val="24"/>
          <w:szCs w:val="24"/>
        </w:rPr>
        <w:t>25</w:t>
      </w:r>
      <w:r w:rsidRPr="006B607B">
        <w:rPr>
          <w:rFonts w:ascii="Times New Roman" w:hAnsi="Times New Roman" w:cs="Times New Roman"/>
          <w:sz w:val="24"/>
          <w:szCs w:val="24"/>
        </w:rPr>
        <w:t>%</w:t>
      </w:r>
      <w:r w:rsidR="00342C4A" w:rsidRPr="006B60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24894A" w14:textId="38EF444E" w:rsidR="00F903B5" w:rsidRPr="006B607B" w:rsidRDefault="00F903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Ukupni rashodi </w:t>
      </w:r>
      <w:r w:rsidR="00C17840" w:rsidRPr="006B607B">
        <w:rPr>
          <w:rFonts w:ascii="Times New Roman" w:hAnsi="Times New Roman" w:cs="Times New Roman"/>
          <w:sz w:val="24"/>
          <w:szCs w:val="24"/>
        </w:rPr>
        <w:t>su ostvareni u iznosu od 2.</w:t>
      </w:r>
      <w:r w:rsidR="00002D25" w:rsidRPr="006B607B">
        <w:rPr>
          <w:rFonts w:ascii="Times New Roman" w:hAnsi="Times New Roman" w:cs="Times New Roman"/>
          <w:sz w:val="24"/>
          <w:szCs w:val="24"/>
        </w:rPr>
        <w:t>551</w:t>
      </w:r>
      <w:r w:rsidR="00C17840" w:rsidRPr="006B607B">
        <w:rPr>
          <w:rFonts w:ascii="Times New Roman" w:hAnsi="Times New Roman" w:cs="Times New Roman"/>
          <w:sz w:val="24"/>
          <w:szCs w:val="24"/>
        </w:rPr>
        <w:t>.</w:t>
      </w:r>
      <w:r w:rsidR="00002D25" w:rsidRPr="006B607B">
        <w:rPr>
          <w:rFonts w:ascii="Times New Roman" w:hAnsi="Times New Roman" w:cs="Times New Roman"/>
          <w:sz w:val="24"/>
          <w:szCs w:val="24"/>
        </w:rPr>
        <w:t>144</w:t>
      </w:r>
      <w:r w:rsidR="008B76C3" w:rsidRPr="006B607B">
        <w:rPr>
          <w:rFonts w:ascii="Times New Roman" w:hAnsi="Times New Roman" w:cs="Times New Roman"/>
          <w:sz w:val="24"/>
          <w:szCs w:val="24"/>
        </w:rPr>
        <w:t>,</w:t>
      </w:r>
      <w:r w:rsidR="00002D25" w:rsidRPr="006B607B">
        <w:rPr>
          <w:rFonts w:ascii="Times New Roman" w:hAnsi="Times New Roman" w:cs="Times New Roman"/>
          <w:sz w:val="24"/>
          <w:szCs w:val="24"/>
        </w:rPr>
        <w:t>32</w:t>
      </w:r>
      <w:r w:rsidR="00C17840" w:rsidRPr="006B607B">
        <w:rPr>
          <w:rFonts w:ascii="Times New Roman" w:hAnsi="Times New Roman" w:cs="Times New Roman"/>
          <w:sz w:val="24"/>
          <w:szCs w:val="24"/>
        </w:rPr>
        <w:t xml:space="preserve"> EUR</w:t>
      </w:r>
      <w:r w:rsidR="00342C4A" w:rsidRPr="006B607B">
        <w:rPr>
          <w:rFonts w:ascii="Times New Roman" w:hAnsi="Times New Roman" w:cs="Times New Roman"/>
          <w:sz w:val="24"/>
          <w:szCs w:val="24"/>
        </w:rPr>
        <w:t xml:space="preserve"> i u odnosu na planirane manji su za 1</w:t>
      </w:r>
      <w:r w:rsidR="00002D25" w:rsidRPr="006B607B">
        <w:rPr>
          <w:rFonts w:ascii="Times New Roman" w:hAnsi="Times New Roman" w:cs="Times New Roman"/>
          <w:sz w:val="24"/>
          <w:szCs w:val="24"/>
        </w:rPr>
        <w:t>2</w:t>
      </w:r>
      <w:r w:rsidR="00342C4A" w:rsidRPr="006B607B">
        <w:rPr>
          <w:rFonts w:ascii="Times New Roman" w:hAnsi="Times New Roman" w:cs="Times New Roman"/>
          <w:sz w:val="24"/>
          <w:szCs w:val="24"/>
        </w:rPr>
        <w:t>,</w:t>
      </w:r>
      <w:r w:rsidR="00002D25" w:rsidRPr="006B607B">
        <w:rPr>
          <w:rFonts w:ascii="Times New Roman" w:hAnsi="Times New Roman" w:cs="Times New Roman"/>
          <w:sz w:val="24"/>
          <w:szCs w:val="24"/>
        </w:rPr>
        <w:t>29%</w:t>
      </w:r>
      <w:r w:rsidR="00342C4A" w:rsidRPr="006B607B">
        <w:rPr>
          <w:rFonts w:ascii="Times New Roman" w:hAnsi="Times New Roman" w:cs="Times New Roman"/>
          <w:sz w:val="24"/>
          <w:szCs w:val="24"/>
        </w:rPr>
        <w:t>.</w:t>
      </w:r>
    </w:p>
    <w:p w14:paraId="674AB517" w14:textId="32E45C65" w:rsidR="00AF6CBB" w:rsidRPr="006B607B" w:rsidRDefault="00342C4A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lastRenderedPageBreak/>
        <w:t>Primici u 202</w:t>
      </w:r>
      <w:r w:rsidR="00002D25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 xml:space="preserve">. godini </w:t>
      </w:r>
      <w:r w:rsidR="008B76C3" w:rsidRPr="006B607B">
        <w:rPr>
          <w:rFonts w:ascii="Times New Roman" w:hAnsi="Times New Roman" w:cs="Times New Roman"/>
          <w:sz w:val="24"/>
          <w:szCs w:val="24"/>
        </w:rPr>
        <w:t xml:space="preserve">se </w:t>
      </w:r>
      <w:r w:rsidRPr="006B607B">
        <w:rPr>
          <w:rFonts w:ascii="Times New Roman" w:hAnsi="Times New Roman" w:cs="Times New Roman"/>
          <w:sz w:val="24"/>
          <w:szCs w:val="24"/>
        </w:rPr>
        <w:t>nisu planirali</w:t>
      </w:r>
      <w:r w:rsidR="00002D25" w:rsidRPr="006B607B">
        <w:rPr>
          <w:rFonts w:ascii="Times New Roman" w:hAnsi="Times New Roman" w:cs="Times New Roman"/>
          <w:sz w:val="24"/>
          <w:szCs w:val="24"/>
        </w:rPr>
        <w:t>.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002D25" w:rsidRPr="006B607B">
        <w:rPr>
          <w:rFonts w:ascii="Times New Roman" w:hAnsi="Times New Roman" w:cs="Times New Roman"/>
          <w:sz w:val="24"/>
          <w:szCs w:val="24"/>
        </w:rPr>
        <w:t>I</w:t>
      </w:r>
      <w:r w:rsidRPr="006B607B">
        <w:rPr>
          <w:rFonts w:ascii="Times New Roman" w:hAnsi="Times New Roman" w:cs="Times New Roman"/>
          <w:sz w:val="24"/>
          <w:szCs w:val="24"/>
        </w:rPr>
        <w:t>zdaci su ostvareni u planiranim vrijednostima.</w:t>
      </w:r>
      <w:r w:rsidR="00002D25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F0407F" w:rsidRPr="006B607B">
        <w:rPr>
          <w:rFonts w:ascii="Times New Roman" w:hAnsi="Times New Roman" w:cs="Times New Roman"/>
          <w:sz w:val="24"/>
          <w:szCs w:val="24"/>
        </w:rPr>
        <w:t>Sukladno planu otplate, u</w:t>
      </w:r>
      <w:r w:rsidR="00002D25" w:rsidRPr="006B607B">
        <w:rPr>
          <w:rFonts w:ascii="Times New Roman" w:hAnsi="Times New Roman" w:cs="Times New Roman"/>
          <w:sz w:val="24"/>
          <w:szCs w:val="24"/>
        </w:rPr>
        <w:t xml:space="preserve"> 2024. godini plaćene su četiri rate kredita u ukupnom iznosu od 5.897,60 EUR</w:t>
      </w:r>
      <w:r w:rsidR="00F0407F" w:rsidRPr="006B607B">
        <w:rPr>
          <w:rFonts w:ascii="Times New Roman" w:hAnsi="Times New Roman" w:cs="Times New Roman"/>
          <w:sz w:val="24"/>
          <w:szCs w:val="24"/>
        </w:rPr>
        <w:t>,</w:t>
      </w:r>
      <w:r w:rsidR="00AF6CBB" w:rsidRPr="006B607B">
        <w:t xml:space="preserve"> </w:t>
      </w:r>
      <w:r w:rsidR="00AF6CBB" w:rsidRPr="006B607B">
        <w:rPr>
          <w:rFonts w:ascii="Times New Roman" w:hAnsi="Times New Roman" w:cs="Times New Roman"/>
          <w:sz w:val="24"/>
          <w:szCs w:val="24"/>
        </w:rPr>
        <w:t>a odnose se na kvartalne rate otplate glavnice kredita primljenog od HBOR-a.</w:t>
      </w:r>
    </w:p>
    <w:p w14:paraId="6FDD2590" w14:textId="77777777" w:rsidR="00205C01" w:rsidRDefault="00205C01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23D911" w14:textId="1B8C491A" w:rsidR="00C72ECE" w:rsidRPr="006B607B" w:rsidRDefault="00C72E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Odnos sredstava</w:t>
      </w:r>
    </w:p>
    <w:p w14:paraId="50DE82F5" w14:textId="264E1DE9" w:rsidR="009E6600" w:rsidRPr="006B607B" w:rsidRDefault="009E6600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Prijenos sredstava iz 2024. u 2025. godinu iznosi 929.</w:t>
      </w:r>
      <w:r w:rsidR="00CF10AA" w:rsidRPr="006B607B">
        <w:rPr>
          <w:rFonts w:ascii="Times New Roman" w:hAnsi="Times New Roman" w:cs="Times New Roman"/>
          <w:sz w:val="24"/>
          <w:szCs w:val="24"/>
        </w:rPr>
        <w:t>574</w:t>
      </w:r>
      <w:r w:rsidRPr="006B607B">
        <w:rPr>
          <w:rFonts w:ascii="Times New Roman" w:hAnsi="Times New Roman" w:cs="Times New Roman"/>
          <w:sz w:val="24"/>
          <w:szCs w:val="24"/>
        </w:rPr>
        <w:t>,</w:t>
      </w:r>
      <w:r w:rsidR="00CF10AA" w:rsidRPr="006B607B">
        <w:rPr>
          <w:rFonts w:ascii="Times New Roman" w:hAnsi="Times New Roman" w:cs="Times New Roman"/>
          <w:sz w:val="24"/>
          <w:szCs w:val="24"/>
        </w:rPr>
        <w:t>64</w:t>
      </w:r>
      <w:r w:rsidRPr="006B607B">
        <w:rPr>
          <w:rFonts w:ascii="Times New Roman" w:hAnsi="Times New Roman" w:cs="Times New Roman"/>
          <w:sz w:val="24"/>
          <w:szCs w:val="24"/>
        </w:rPr>
        <w:t xml:space="preserve"> EUR zbog većeg priljeva vlastitih sredstava tijekom 2024. godine koji se nisu utrošili u tekućoj godini</w:t>
      </w:r>
      <w:r w:rsidR="00002D25" w:rsidRPr="006B607B">
        <w:rPr>
          <w:rFonts w:ascii="Times New Roman" w:hAnsi="Times New Roman" w:cs="Times New Roman"/>
          <w:sz w:val="24"/>
          <w:szCs w:val="24"/>
        </w:rPr>
        <w:t>. Krajem 2024. godine</w:t>
      </w:r>
      <w:r w:rsidRPr="006B607B">
        <w:rPr>
          <w:rFonts w:ascii="Times New Roman" w:hAnsi="Times New Roman" w:cs="Times New Roman"/>
          <w:sz w:val="24"/>
          <w:szCs w:val="24"/>
        </w:rPr>
        <w:t xml:space="preserve"> upla</w:t>
      </w:r>
      <w:r w:rsidR="00002D25" w:rsidRPr="006B607B">
        <w:rPr>
          <w:rFonts w:ascii="Times New Roman" w:hAnsi="Times New Roman" w:cs="Times New Roman"/>
          <w:sz w:val="24"/>
          <w:szCs w:val="24"/>
        </w:rPr>
        <w:t xml:space="preserve">ćena je druga rata </w:t>
      </w:r>
      <w:r w:rsidRPr="006B607B">
        <w:rPr>
          <w:rFonts w:ascii="Times New Roman" w:hAnsi="Times New Roman" w:cs="Times New Roman"/>
          <w:sz w:val="24"/>
          <w:szCs w:val="24"/>
        </w:rPr>
        <w:t xml:space="preserve">sredstava Mehanizma za oporavak i otpornost za financiranje aktivnosti u </w:t>
      </w:r>
      <w:r w:rsidR="00002D25" w:rsidRPr="006B607B">
        <w:rPr>
          <w:rFonts w:ascii="Times New Roman" w:hAnsi="Times New Roman" w:cs="Times New Roman"/>
          <w:sz w:val="24"/>
          <w:szCs w:val="24"/>
        </w:rPr>
        <w:t xml:space="preserve">2025. </w:t>
      </w:r>
      <w:r w:rsidRPr="006B607B">
        <w:rPr>
          <w:rFonts w:ascii="Times New Roman" w:hAnsi="Times New Roman" w:cs="Times New Roman"/>
          <w:sz w:val="24"/>
          <w:szCs w:val="24"/>
        </w:rPr>
        <w:t xml:space="preserve">godini </w:t>
      </w:r>
      <w:r w:rsidR="00002D25" w:rsidRPr="006B607B">
        <w:rPr>
          <w:rFonts w:ascii="Times New Roman" w:hAnsi="Times New Roman" w:cs="Times New Roman"/>
          <w:sz w:val="24"/>
          <w:szCs w:val="24"/>
        </w:rPr>
        <w:t xml:space="preserve">sukladno Programskom ugovoru za razdoblje 2024.-2027. godine </w:t>
      </w:r>
      <w:r w:rsidRPr="006B607B">
        <w:rPr>
          <w:rFonts w:ascii="Times New Roman" w:hAnsi="Times New Roman" w:cs="Times New Roman"/>
          <w:sz w:val="24"/>
          <w:szCs w:val="24"/>
        </w:rPr>
        <w:t>i to u iznosu 171.706,30 EUR.</w:t>
      </w:r>
    </w:p>
    <w:p w14:paraId="24FF2D49" w14:textId="77777777" w:rsidR="00F0407F" w:rsidRPr="006B607B" w:rsidRDefault="00F0407F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BCE85" w14:textId="7D5E480E" w:rsidR="00936A3D" w:rsidRPr="006B607B" w:rsidRDefault="008B76C3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Informacija o stanju</w:t>
      </w:r>
      <w:r w:rsidR="00936A3D" w:rsidRPr="006B607B">
        <w:rPr>
          <w:rFonts w:ascii="Times New Roman" w:hAnsi="Times New Roman" w:cs="Times New Roman"/>
          <w:sz w:val="24"/>
          <w:szCs w:val="24"/>
        </w:rPr>
        <w:t xml:space="preserve"> novčanih sredstava na računu u banci i blagajnama</w:t>
      </w:r>
    </w:p>
    <w:p w14:paraId="2488D7FE" w14:textId="6EC93951" w:rsidR="00C72ECE" w:rsidRPr="006B607B" w:rsidRDefault="000F7207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Stanje novčanih sredstava na računu u banci i blagajnama na dan 01.01.202</w:t>
      </w:r>
      <w:r w:rsidR="009E6600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 xml:space="preserve">. godine iznosilo je </w:t>
      </w:r>
      <w:r w:rsidR="00CF10AA" w:rsidRPr="006B607B">
        <w:rPr>
          <w:rFonts w:ascii="Times New Roman" w:hAnsi="Times New Roman" w:cs="Times New Roman"/>
          <w:sz w:val="24"/>
          <w:szCs w:val="24"/>
        </w:rPr>
        <w:t>622.183,59 EUR</w:t>
      </w:r>
      <w:r w:rsidRPr="006B607B">
        <w:rPr>
          <w:rFonts w:ascii="Times New Roman" w:hAnsi="Times New Roman" w:cs="Times New Roman"/>
          <w:sz w:val="24"/>
          <w:szCs w:val="24"/>
        </w:rPr>
        <w:t>, a na dan 31.12.202</w:t>
      </w:r>
      <w:r w:rsidR="009E6600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>. godine iznosilo je.</w:t>
      </w:r>
      <w:r w:rsidR="00CF10AA" w:rsidRPr="006B607B">
        <w:t xml:space="preserve"> </w:t>
      </w:r>
      <w:r w:rsidR="00CF10AA" w:rsidRPr="006B607B">
        <w:rPr>
          <w:rFonts w:ascii="Times New Roman" w:hAnsi="Times New Roman" w:cs="Times New Roman"/>
          <w:sz w:val="24"/>
          <w:szCs w:val="24"/>
        </w:rPr>
        <w:t>931.836,67 EUR</w:t>
      </w:r>
    </w:p>
    <w:p w14:paraId="5617127E" w14:textId="77777777" w:rsidR="00D93122" w:rsidRPr="006B607B" w:rsidRDefault="00D93122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6C9CEB" w14:textId="6B3FE987" w:rsidR="00D93122" w:rsidRPr="006B607B" w:rsidRDefault="00DB1586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A.1 </w:t>
      </w:r>
      <w:r w:rsidR="00D93122" w:rsidRPr="006B607B">
        <w:rPr>
          <w:rFonts w:ascii="Times New Roman" w:hAnsi="Times New Roman" w:cs="Times New Roman"/>
          <w:sz w:val="24"/>
          <w:szCs w:val="24"/>
        </w:rPr>
        <w:t xml:space="preserve">IZVJEŠTAJ O PRIHODIMA I RASHODIMA PREMA </w:t>
      </w:r>
      <w:r w:rsidR="00887B51" w:rsidRPr="006B607B">
        <w:rPr>
          <w:rFonts w:ascii="Times New Roman" w:hAnsi="Times New Roman" w:cs="Times New Roman"/>
          <w:sz w:val="24"/>
          <w:szCs w:val="24"/>
        </w:rPr>
        <w:t xml:space="preserve">EKONOMSKOJ KLASIFIKACIJI I </w:t>
      </w:r>
      <w:r w:rsidR="00D93122" w:rsidRPr="006B607B">
        <w:rPr>
          <w:rFonts w:ascii="Times New Roman" w:hAnsi="Times New Roman" w:cs="Times New Roman"/>
          <w:sz w:val="24"/>
          <w:szCs w:val="24"/>
        </w:rPr>
        <w:t>IZVORIMA FINANCIRANJA</w:t>
      </w:r>
      <w:r w:rsidR="006660E7" w:rsidRPr="006B607B">
        <w:rPr>
          <w:rFonts w:ascii="Times New Roman" w:hAnsi="Times New Roman" w:cs="Times New Roman"/>
          <w:sz w:val="24"/>
          <w:szCs w:val="24"/>
        </w:rPr>
        <w:t xml:space="preserve"> (TABELA A</w:t>
      </w:r>
      <w:r w:rsidR="0066624A">
        <w:rPr>
          <w:rFonts w:ascii="Times New Roman" w:hAnsi="Times New Roman" w:cs="Times New Roman"/>
          <w:sz w:val="24"/>
          <w:szCs w:val="24"/>
        </w:rPr>
        <w:t>.</w:t>
      </w:r>
      <w:r w:rsidR="006660E7" w:rsidRPr="006B607B">
        <w:rPr>
          <w:rFonts w:ascii="Times New Roman" w:hAnsi="Times New Roman" w:cs="Times New Roman"/>
          <w:sz w:val="24"/>
          <w:szCs w:val="24"/>
        </w:rPr>
        <w:t>1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 PRIHODI I TABELA A</w:t>
      </w:r>
      <w:r w:rsidR="0066624A">
        <w:rPr>
          <w:rFonts w:ascii="Times New Roman" w:hAnsi="Times New Roman" w:cs="Times New Roman"/>
          <w:sz w:val="24"/>
          <w:szCs w:val="24"/>
        </w:rPr>
        <w:t>.</w:t>
      </w:r>
      <w:r w:rsidR="00D478FA" w:rsidRPr="006B607B">
        <w:rPr>
          <w:rFonts w:ascii="Times New Roman" w:hAnsi="Times New Roman" w:cs="Times New Roman"/>
          <w:sz w:val="24"/>
          <w:szCs w:val="24"/>
        </w:rPr>
        <w:t>1 RASHODI)</w:t>
      </w:r>
    </w:p>
    <w:p w14:paraId="3B84F9F2" w14:textId="0AB68F93" w:rsidR="00D93122" w:rsidRPr="006B607B" w:rsidRDefault="00340FB5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Godišnji i</w:t>
      </w:r>
      <w:r w:rsidR="00944AFC" w:rsidRPr="006B607B">
        <w:rPr>
          <w:rFonts w:ascii="Times New Roman" w:hAnsi="Times New Roman" w:cs="Times New Roman"/>
          <w:sz w:val="24"/>
          <w:szCs w:val="24"/>
        </w:rPr>
        <w:t xml:space="preserve">zvještaj o ostvarenju </w:t>
      </w:r>
      <w:r w:rsidR="003E1731" w:rsidRPr="006B607B">
        <w:rPr>
          <w:rFonts w:ascii="Times New Roman" w:hAnsi="Times New Roman" w:cs="Times New Roman"/>
          <w:sz w:val="24"/>
          <w:szCs w:val="24"/>
        </w:rPr>
        <w:t xml:space="preserve">financijskog </w:t>
      </w:r>
      <w:r w:rsidR="00944AFC" w:rsidRPr="006B607B">
        <w:rPr>
          <w:rFonts w:ascii="Times New Roman" w:hAnsi="Times New Roman" w:cs="Times New Roman"/>
          <w:sz w:val="24"/>
          <w:szCs w:val="24"/>
        </w:rPr>
        <w:t>plana</w:t>
      </w:r>
      <w:r w:rsidR="00E87F4B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3E1731" w:rsidRPr="006B607B">
        <w:rPr>
          <w:rFonts w:ascii="Times New Roman" w:hAnsi="Times New Roman" w:cs="Times New Roman"/>
          <w:sz w:val="24"/>
          <w:szCs w:val="24"/>
        </w:rPr>
        <w:t xml:space="preserve">za </w:t>
      </w:r>
      <w:r w:rsidR="00944AFC" w:rsidRPr="006B607B">
        <w:rPr>
          <w:rFonts w:ascii="Times New Roman" w:hAnsi="Times New Roman" w:cs="Times New Roman"/>
          <w:sz w:val="24"/>
          <w:szCs w:val="24"/>
        </w:rPr>
        <w:t>202</w:t>
      </w:r>
      <w:r w:rsidR="006660E7" w:rsidRPr="006B607B">
        <w:rPr>
          <w:rFonts w:ascii="Times New Roman" w:hAnsi="Times New Roman" w:cs="Times New Roman"/>
          <w:sz w:val="24"/>
          <w:szCs w:val="24"/>
        </w:rPr>
        <w:t>4</w:t>
      </w:r>
      <w:r w:rsidR="00944AFC" w:rsidRPr="006B607B">
        <w:rPr>
          <w:rFonts w:ascii="Times New Roman" w:hAnsi="Times New Roman" w:cs="Times New Roman"/>
          <w:sz w:val="24"/>
          <w:szCs w:val="24"/>
        </w:rPr>
        <w:t>. godin</w:t>
      </w:r>
      <w:r w:rsidR="003E1731" w:rsidRPr="006B607B">
        <w:rPr>
          <w:rFonts w:ascii="Times New Roman" w:hAnsi="Times New Roman" w:cs="Times New Roman"/>
          <w:sz w:val="24"/>
          <w:szCs w:val="24"/>
        </w:rPr>
        <w:t>u</w:t>
      </w:r>
      <w:r w:rsidR="00944AFC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F0407F" w:rsidRPr="006B607B">
        <w:rPr>
          <w:rFonts w:ascii="Times New Roman" w:hAnsi="Times New Roman" w:cs="Times New Roman"/>
          <w:sz w:val="24"/>
          <w:szCs w:val="24"/>
        </w:rPr>
        <w:t xml:space="preserve">prema ekonomskoj klasifikaciji </w:t>
      </w:r>
      <w:r w:rsidR="00527D78" w:rsidRPr="006B607B">
        <w:rPr>
          <w:rFonts w:ascii="Times New Roman" w:hAnsi="Times New Roman" w:cs="Times New Roman"/>
          <w:sz w:val="24"/>
          <w:szCs w:val="24"/>
        </w:rPr>
        <w:t>prikaz</w:t>
      </w:r>
      <w:r w:rsidR="00F42C6D" w:rsidRPr="006B607B">
        <w:rPr>
          <w:rFonts w:ascii="Times New Roman" w:hAnsi="Times New Roman" w:cs="Times New Roman"/>
          <w:sz w:val="24"/>
          <w:szCs w:val="24"/>
        </w:rPr>
        <w:t>uj</w:t>
      </w:r>
      <w:r w:rsidR="00D478FA" w:rsidRPr="006B607B">
        <w:rPr>
          <w:rFonts w:ascii="Times New Roman" w:hAnsi="Times New Roman" w:cs="Times New Roman"/>
          <w:sz w:val="24"/>
          <w:szCs w:val="24"/>
        </w:rPr>
        <w:t>u</w:t>
      </w:r>
      <w:r w:rsidR="006375D9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8B76C3" w:rsidRPr="006B607B">
        <w:rPr>
          <w:rFonts w:ascii="Times New Roman" w:hAnsi="Times New Roman" w:cs="Times New Roman"/>
          <w:sz w:val="24"/>
          <w:szCs w:val="24"/>
        </w:rPr>
        <w:t>tabel</w:t>
      </w:r>
      <w:r w:rsidR="00D478FA" w:rsidRPr="006B607B">
        <w:rPr>
          <w:rFonts w:ascii="Times New Roman" w:hAnsi="Times New Roman" w:cs="Times New Roman"/>
          <w:sz w:val="24"/>
          <w:szCs w:val="24"/>
        </w:rPr>
        <w:t>e</w:t>
      </w:r>
      <w:r w:rsidR="008B76C3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6375D9" w:rsidRPr="006B607B">
        <w:rPr>
          <w:rFonts w:ascii="Times New Roman" w:hAnsi="Times New Roman" w:cs="Times New Roman"/>
          <w:sz w:val="24"/>
          <w:szCs w:val="24"/>
        </w:rPr>
        <w:t>A1</w:t>
      </w:r>
      <w:r w:rsidR="00F0407F" w:rsidRPr="006B607B">
        <w:rPr>
          <w:rFonts w:ascii="Times New Roman" w:hAnsi="Times New Roman" w:cs="Times New Roman"/>
          <w:sz w:val="24"/>
          <w:szCs w:val="24"/>
        </w:rPr>
        <w:t>: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9B33F7" w:rsidRPr="006B607B">
        <w:rPr>
          <w:rFonts w:ascii="Times New Roman" w:hAnsi="Times New Roman" w:cs="Times New Roman"/>
          <w:sz w:val="24"/>
          <w:szCs w:val="24"/>
        </w:rPr>
        <w:t>–</w:t>
      </w:r>
      <w:r w:rsidR="006375D9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9B33F7" w:rsidRPr="006B607B">
        <w:rPr>
          <w:rFonts w:ascii="Times New Roman" w:hAnsi="Times New Roman" w:cs="Times New Roman"/>
          <w:sz w:val="24"/>
          <w:szCs w:val="24"/>
        </w:rPr>
        <w:t xml:space="preserve">zasebno za </w:t>
      </w:r>
      <w:r w:rsidR="00F42C6D" w:rsidRPr="006B607B">
        <w:rPr>
          <w:rFonts w:ascii="Times New Roman" w:hAnsi="Times New Roman" w:cs="Times New Roman"/>
          <w:sz w:val="24"/>
          <w:szCs w:val="24"/>
        </w:rPr>
        <w:t xml:space="preserve">izvršenje </w:t>
      </w:r>
      <w:r w:rsidRPr="006B607B">
        <w:rPr>
          <w:rFonts w:ascii="Times New Roman" w:hAnsi="Times New Roman" w:cs="Times New Roman"/>
          <w:sz w:val="24"/>
          <w:szCs w:val="24"/>
        </w:rPr>
        <w:t xml:space="preserve">prihoda i </w:t>
      </w:r>
      <w:r w:rsidR="009B33F7" w:rsidRPr="006B607B">
        <w:rPr>
          <w:rFonts w:ascii="Times New Roman" w:hAnsi="Times New Roman" w:cs="Times New Roman"/>
          <w:sz w:val="24"/>
          <w:szCs w:val="24"/>
        </w:rPr>
        <w:t xml:space="preserve">zasebno za 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izvršenje </w:t>
      </w:r>
      <w:r w:rsidRPr="006B607B">
        <w:rPr>
          <w:rFonts w:ascii="Times New Roman" w:hAnsi="Times New Roman" w:cs="Times New Roman"/>
          <w:sz w:val="24"/>
          <w:szCs w:val="24"/>
        </w:rPr>
        <w:t>rashoda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. Prikazana su izvršenja </w:t>
      </w:r>
      <w:r w:rsidR="00F42C6D" w:rsidRPr="006B607B">
        <w:rPr>
          <w:rFonts w:ascii="Times New Roman" w:hAnsi="Times New Roman" w:cs="Times New Roman"/>
          <w:sz w:val="24"/>
          <w:szCs w:val="24"/>
        </w:rPr>
        <w:t>u 202</w:t>
      </w:r>
      <w:r w:rsidR="009B33F7" w:rsidRPr="006B607B">
        <w:rPr>
          <w:rFonts w:ascii="Times New Roman" w:hAnsi="Times New Roman" w:cs="Times New Roman"/>
          <w:sz w:val="24"/>
          <w:szCs w:val="24"/>
        </w:rPr>
        <w:t>3</w:t>
      </w:r>
      <w:r w:rsidR="00F42C6D" w:rsidRPr="006B607B">
        <w:rPr>
          <w:rFonts w:ascii="Times New Roman" w:hAnsi="Times New Roman" w:cs="Times New Roman"/>
          <w:sz w:val="24"/>
          <w:szCs w:val="24"/>
        </w:rPr>
        <w:t xml:space="preserve">. 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godini, planirane vrijednosti u 2024. godini </w:t>
      </w:r>
      <w:r w:rsidR="00F42C6D" w:rsidRPr="006B607B">
        <w:rPr>
          <w:rFonts w:ascii="Times New Roman" w:hAnsi="Times New Roman" w:cs="Times New Roman"/>
          <w:sz w:val="24"/>
          <w:szCs w:val="24"/>
        </w:rPr>
        <w:t xml:space="preserve">i 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izvršenja u </w:t>
      </w:r>
      <w:r w:rsidRPr="006B607B">
        <w:rPr>
          <w:rFonts w:ascii="Times New Roman" w:hAnsi="Times New Roman" w:cs="Times New Roman"/>
          <w:sz w:val="24"/>
          <w:szCs w:val="24"/>
        </w:rPr>
        <w:t>202</w:t>
      </w:r>
      <w:r w:rsidR="00D478FA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>. godini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. </w:t>
      </w:r>
      <w:r w:rsidR="00F42C6D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S obzirom na to da se financijski planovi usvajaju na drugoj razini </w:t>
      </w:r>
      <w:proofErr w:type="spellStart"/>
      <w:r w:rsidR="004F445A" w:rsidRPr="006B607B"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 w:rsidR="004F445A" w:rsidRPr="006B607B">
        <w:rPr>
          <w:rFonts w:ascii="Times New Roman" w:hAnsi="Times New Roman" w:cs="Times New Roman"/>
          <w:sz w:val="24"/>
          <w:szCs w:val="24"/>
        </w:rPr>
        <w:t xml:space="preserve"> plana, indeksi izvršenja plana su upisani na drugoj razini </w:t>
      </w:r>
      <w:proofErr w:type="spellStart"/>
      <w:r w:rsidR="004F445A" w:rsidRPr="006B607B">
        <w:rPr>
          <w:rFonts w:ascii="Times New Roman" w:hAnsi="Times New Roman" w:cs="Times New Roman"/>
          <w:sz w:val="24"/>
          <w:szCs w:val="24"/>
        </w:rPr>
        <w:t>kontnog</w:t>
      </w:r>
      <w:proofErr w:type="spellEnd"/>
      <w:r w:rsidR="004F445A" w:rsidRPr="006B607B">
        <w:rPr>
          <w:rFonts w:ascii="Times New Roman" w:hAnsi="Times New Roman" w:cs="Times New Roman"/>
          <w:sz w:val="24"/>
          <w:szCs w:val="24"/>
        </w:rPr>
        <w:t xml:space="preserve"> plana.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 Dodatno, na četvrtoj razini </w:t>
      </w:r>
      <w:proofErr w:type="spellStart"/>
      <w:r w:rsidR="00D478FA" w:rsidRPr="006B607B">
        <w:rPr>
          <w:rFonts w:ascii="Times New Roman" w:hAnsi="Times New Roman" w:cs="Times New Roman"/>
          <w:sz w:val="24"/>
          <w:szCs w:val="24"/>
        </w:rPr>
        <w:t>kon</w:t>
      </w:r>
      <w:r w:rsidR="004F445A" w:rsidRPr="006B607B">
        <w:rPr>
          <w:rFonts w:ascii="Times New Roman" w:hAnsi="Times New Roman" w:cs="Times New Roman"/>
          <w:sz w:val="24"/>
          <w:szCs w:val="24"/>
        </w:rPr>
        <w:t>tnog</w:t>
      </w:r>
      <w:proofErr w:type="spellEnd"/>
      <w:r w:rsidR="004F445A" w:rsidRPr="006B607B">
        <w:rPr>
          <w:rFonts w:ascii="Times New Roman" w:hAnsi="Times New Roman" w:cs="Times New Roman"/>
          <w:sz w:val="24"/>
          <w:szCs w:val="24"/>
        </w:rPr>
        <w:t xml:space="preserve"> plana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izračunati su indeksi ostvarenja prihoda i rashoda u odnosu na izvršenje 2023. godine što je </w:t>
      </w:r>
      <w:r w:rsidR="00D478FA" w:rsidRPr="006B607B">
        <w:rPr>
          <w:rFonts w:ascii="Times New Roman" w:hAnsi="Times New Roman" w:cs="Times New Roman"/>
          <w:sz w:val="24"/>
          <w:szCs w:val="24"/>
        </w:rPr>
        <w:t>zadano predlošk</w:t>
      </w:r>
      <w:r w:rsidR="004F445A" w:rsidRPr="006B607B">
        <w:rPr>
          <w:rFonts w:ascii="Times New Roman" w:hAnsi="Times New Roman" w:cs="Times New Roman"/>
          <w:sz w:val="24"/>
          <w:szCs w:val="24"/>
        </w:rPr>
        <w:t xml:space="preserve">om izvještaja 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nadležnog ministarstva.  </w:t>
      </w:r>
      <w:r w:rsidR="006375D9" w:rsidRPr="006B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BD5B50" w14:textId="1930FB37" w:rsidR="007C4967" w:rsidRPr="006B607B" w:rsidRDefault="00887B51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U odnosu na planirane prihode</w:t>
      </w:r>
      <w:r w:rsidR="00194CB6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Pr="006B607B">
        <w:rPr>
          <w:rFonts w:ascii="Times New Roman" w:hAnsi="Times New Roman" w:cs="Times New Roman"/>
          <w:sz w:val="24"/>
          <w:szCs w:val="24"/>
        </w:rPr>
        <w:t xml:space="preserve">, prema ekonomskoj klasifikaciji </w:t>
      </w:r>
      <w:r w:rsidR="00D478FA" w:rsidRPr="006B607B">
        <w:rPr>
          <w:rFonts w:ascii="Times New Roman" w:hAnsi="Times New Roman" w:cs="Times New Roman"/>
          <w:sz w:val="24"/>
          <w:szCs w:val="24"/>
        </w:rPr>
        <w:t>druge razine konta</w:t>
      </w:r>
      <w:r w:rsidR="007C4967" w:rsidRPr="006B607B">
        <w:rPr>
          <w:rFonts w:ascii="Times New Roman" w:hAnsi="Times New Roman" w:cs="Times New Roman"/>
          <w:sz w:val="24"/>
          <w:szCs w:val="24"/>
        </w:rPr>
        <w:t>,</w:t>
      </w:r>
      <w:r w:rsidR="00D478FA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Pr="006B607B">
        <w:rPr>
          <w:rFonts w:ascii="Times New Roman" w:hAnsi="Times New Roman" w:cs="Times New Roman"/>
          <w:sz w:val="24"/>
          <w:szCs w:val="24"/>
        </w:rPr>
        <w:t xml:space="preserve">ostvareni </w:t>
      </w:r>
      <w:r w:rsidR="007C4967" w:rsidRPr="006B607B">
        <w:rPr>
          <w:rFonts w:ascii="Times New Roman" w:hAnsi="Times New Roman" w:cs="Times New Roman"/>
          <w:sz w:val="24"/>
          <w:szCs w:val="24"/>
        </w:rPr>
        <w:t xml:space="preserve">prihodi su </w:t>
      </w:r>
      <w:r w:rsidR="00194CB6">
        <w:rPr>
          <w:rFonts w:ascii="Times New Roman" w:hAnsi="Times New Roman" w:cs="Times New Roman"/>
          <w:sz w:val="24"/>
          <w:szCs w:val="24"/>
        </w:rPr>
        <w:t>u</w:t>
      </w:r>
      <w:r w:rsidR="007C4967" w:rsidRPr="006B607B">
        <w:rPr>
          <w:rFonts w:ascii="Times New Roman" w:hAnsi="Times New Roman" w:cs="Times New Roman"/>
          <w:sz w:val="24"/>
          <w:szCs w:val="24"/>
        </w:rPr>
        <w:t xml:space="preserve"> razini planiranih</w:t>
      </w:r>
      <w:r w:rsidR="00B463CE" w:rsidRPr="006B607B">
        <w:rPr>
          <w:rFonts w:ascii="Times New Roman" w:hAnsi="Times New Roman" w:cs="Times New Roman"/>
          <w:sz w:val="24"/>
          <w:szCs w:val="24"/>
        </w:rPr>
        <w:t>.</w:t>
      </w:r>
    </w:p>
    <w:p w14:paraId="354C312F" w14:textId="02575261" w:rsidR="00B463CE" w:rsidRPr="006B607B" w:rsidRDefault="00B463CE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Rashodi su se ostvarili unutar raspoloživih sredstava</w:t>
      </w:r>
      <w:r w:rsidR="007C4967" w:rsidRPr="006B607B">
        <w:rPr>
          <w:rFonts w:ascii="Times New Roman" w:hAnsi="Times New Roman" w:cs="Times New Roman"/>
          <w:sz w:val="24"/>
          <w:szCs w:val="24"/>
        </w:rPr>
        <w:t xml:space="preserve">. U odnosu na planirane ukupni rashodi su manji za 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7C4967" w:rsidRPr="006B607B">
        <w:rPr>
          <w:rFonts w:ascii="Times New Roman" w:hAnsi="Times New Roman" w:cs="Times New Roman"/>
          <w:sz w:val="24"/>
          <w:szCs w:val="24"/>
        </w:rPr>
        <w:t xml:space="preserve">12,29%. Rashodi za zaposlene su u odnosu na plan ostvareni u postotku od 98,49%. Za ostale rashode indeks ostvarenja je manji u odnosu na planirane: ukupni materijalni rashodi su se ostvarili u postotku od oko 64%, financijski rashodi u postotku od 48%, </w:t>
      </w:r>
      <w:r w:rsidR="005541EE" w:rsidRPr="006B607B">
        <w:rPr>
          <w:rFonts w:ascii="Times New Roman" w:hAnsi="Times New Roman" w:cs="Times New Roman"/>
          <w:sz w:val="24"/>
          <w:szCs w:val="24"/>
        </w:rPr>
        <w:t>rashodi za nabavu nefinancijske imovine u postotku od 51,85%.</w:t>
      </w:r>
      <w:r w:rsidR="002869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20B74" w14:textId="4C662BDF" w:rsidR="001324F9" w:rsidRPr="006B607B" w:rsidRDefault="001324F9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D1266" w14:textId="72808572" w:rsidR="00BA67A5" w:rsidRPr="006B607B" w:rsidRDefault="00DB1586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A.2. </w:t>
      </w:r>
      <w:r w:rsidR="00BA67A5" w:rsidRPr="006B607B">
        <w:rPr>
          <w:rFonts w:ascii="Times New Roman" w:hAnsi="Times New Roman" w:cs="Times New Roman"/>
          <w:sz w:val="24"/>
          <w:szCs w:val="24"/>
        </w:rPr>
        <w:t xml:space="preserve">IZVJEŠTAJ O PRIHODIMA I RASHODIMA PREMA IZVORIMA FINANCIRANJA </w:t>
      </w:r>
    </w:p>
    <w:p w14:paraId="2E9BE2E3" w14:textId="64E3C415" w:rsidR="00E3011D" w:rsidRPr="006B607B" w:rsidRDefault="00E3011D" w:rsidP="006375D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Izvještaj o prihodima i rashodima prema izvoru financiranja </w:t>
      </w:r>
      <w:r w:rsidR="0066624A">
        <w:rPr>
          <w:rFonts w:ascii="Times New Roman" w:hAnsi="Times New Roman" w:cs="Times New Roman"/>
          <w:sz w:val="24"/>
          <w:szCs w:val="24"/>
        </w:rPr>
        <w:t xml:space="preserve">(tabela A.2) </w:t>
      </w:r>
      <w:r w:rsidRPr="006B607B">
        <w:rPr>
          <w:rFonts w:ascii="Times New Roman" w:hAnsi="Times New Roman" w:cs="Times New Roman"/>
          <w:sz w:val="24"/>
          <w:szCs w:val="24"/>
        </w:rPr>
        <w:t>prikazuje sažetu sliku izvršenja plana po izvorima:</w:t>
      </w:r>
    </w:p>
    <w:p w14:paraId="193BDF32" w14:textId="41E087BB" w:rsidR="00E3011D" w:rsidRPr="006B607B" w:rsidRDefault="00E3011D" w:rsidP="00E3011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Izvor </w:t>
      </w:r>
      <w:r w:rsidRPr="006B607B">
        <w:rPr>
          <w:rFonts w:ascii="Times New Roman" w:hAnsi="Times New Roman" w:cs="Times New Roman"/>
          <w:i/>
          <w:iCs/>
          <w:sz w:val="24"/>
          <w:szCs w:val="24"/>
        </w:rPr>
        <w:t>11 Opći prihodi i primici</w:t>
      </w:r>
      <w:r w:rsidRPr="006B607B">
        <w:rPr>
          <w:rFonts w:ascii="Times New Roman" w:hAnsi="Times New Roman" w:cs="Times New Roman"/>
          <w:sz w:val="24"/>
          <w:szCs w:val="24"/>
        </w:rPr>
        <w:t xml:space="preserve"> se odnosi na prihode i rashode ugovorene </w:t>
      </w:r>
      <w:bookmarkStart w:id="1" w:name="_Hlk193286125"/>
      <w:r w:rsidRPr="006B607B">
        <w:rPr>
          <w:rFonts w:ascii="Times New Roman" w:hAnsi="Times New Roman" w:cs="Times New Roman"/>
          <w:sz w:val="24"/>
          <w:szCs w:val="24"/>
        </w:rPr>
        <w:t>Programskim ugovorom za razdoblje 2024.-2027. godine</w:t>
      </w:r>
      <w:r w:rsidR="00AE1F35" w:rsidRPr="006B607B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AE1F35" w:rsidRPr="006B607B">
        <w:rPr>
          <w:rFonts w:ascii="Times New Roman" w:hAnsi="Times New Roman" w:cs="Times New Roman"/>
          <w:sz w:val="24"/>
          <w:szCs w:val="24"/>
        </w:rPr>
        <w:t>– osnovna proračunska komponenta.</w:t>
      </w:r>
      <w:r w:rsidR="006C15D3" w:rsidRPr="006B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8243B" w14:textId="215DEB5D" w:rsidR="00AE1F35" w:rsidRPr="006B607B" w:rsidRDefault="00AE1F35" w:rsidP="00E3011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lastRenderedPageBreak/>
        <w:t xml:space="preserve">Izvor </w:t>
      </w:r>
      <w:r w:rsidRPr="006B607B">
        <w:rPr>
          <w:rFonts w:ascii="Times New Roman" w:hAnsi="Times New Roman" w:cs="Times New Roman"/>
          <w:i/>
          <w:iCs/>
          <w:sz w:val="24"/>
          <w:szCs w:val="24"/>
        </w:rPr>
        <w:t>31 Vlastiti prihodi</w:t>
      </w:r>
      <w:r w:rsidRPr="006B607B">
        <w:rPr>
          <w:rFonts w:ascii="Times New Roman" w:hAnsi="Times New Roman" w:cs="Times New Roman"/>
          <w:sz w:val="24"/>
          <w:szCs w:val="24"/>
        </w:rPr>
        <w:t xml:space="preserve"> se odnose na prihode ostvarene od projekata s tržišta, prihoda od najma dijela zgrade Instituta i prihoda od dividendi. </w:t>
      </w:r>
    </w:p>
    <w:p w14:paraId="22AB89E5" w14:textId="13567392" w:rsidR="00405212" w:rsidRPr="006B607B" w:rsidRDefault="00AE1F35" w:rsidP="00E3011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Izvor </w:t>
      </w:r>
      <w:r w:rsidRPr="006B607B">
        <w:rPr>
          <w:rFonts w:ascii="Times New Roman" w:hAnsi="Times New Roman" w:cs="Times New Roman"/>
          <w:i/>
          <w:iCs/>
          <w:sz w:val="24"/>
          <w:szCs w:val="24"/>
        </w:rPr>
        <w:t>51 Pomoći EU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405212" w:rsidRPr="006B607B">
        <w:rPr>
          <w:rFonts w:ascii="Times New Roman" w:hAnsi="Times New Roman" w:cs="Times New Roman"/>
          <w:sz w:val="24"/>
          <w:szCs w:val="24"/>
        </w:rPr>
        <w:t>odnosi se na prihode od EU projekata</w:t>
      </w:r>
      <w:r w:rsidR="002D4AEF" w:rsidRPr="006B607B">
        <w:rPr>
          <w:rFonts w:ascii="Times New Roman" w:hAnsi="Times New Roman" w:cs="Times New Roman"/>
          <w:sz w:val="24"/>
          <w:szCs w:val="24"/>
        </w:rPr>
        <w:t>.</w:t>
      </w:r>
    </w:p>
    <w:p w14:paraId="6B01BF7F" w14:textId="77777777" w:rsidR="002D4AEF" w:rsidRPr="006B607B" w:rsidRDefault="00405212" w:rsidP="00E3011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Izvor </w:t>
      </w:r>
      <w:r w:rsidRPr="006B607B">
        <w:rPr>
          <w:rFonts w:ascii="Times New Roman" w:hAnsi="Times New Roman" w:cs="Times New Roman"/>
          <w:i/>
          <w:iCs/>
          <w:sz w:val="24"/>
          <w:szCs w:val="24"/>
        </w:rPr>
        <w:t>58 Instrumenti EU nove generacije</w:t>
      </w:r>
      <w:r w:rsidRPr="006B607B">
        <w:rPr>
          <w:rFonts w:ascii="Times New Roman" w:hAnsi="Times New Roman" w:cs="Times New Roman"/>
          <w:sz w:val="24"/>
          <w:szCs w:val="24"/>
        </w:rPr>
        <w:t xml:space="preserve"> odnose se na prihode iz Mehanizma za oporavak i otpornost. Prihodi i rashodi ugovoreni su Programskim ugovorom za razdoblje 2024.-2027. godine </w:t>
      </w:r>
      <w:r w:rsidR="002D4AEF" w:rsidRPr="006B607B">
        <w:rPr>
          <w:rFonts w:ascii="Times New Roman" w:hAnsi="Times New Roman" w:cs="Times New Roman"/>
          <w:sz w:val="24"/>
          <w:szCs w:val="24"/>
        </w:rPr>
        <w:t>za</w:t>
      </w:r>
      <w:r w:rsidRPr="006B607B">
        <w:rPr>
          <w:rFonts w:ascii="Times New Roman" w:hAnsi="Times New Roman" w:cs="Times New Roman"/>
          <w:sz w:val="24"/>
          <w:szCs w:val="24"/>
        </w:rPr>
        <w:t xml:space="preserve"> razvojn</w:t>
      </w:r>
      <w:r w:rsidR="002D4AEF" w:rsidRPr="006B607B">
        <w:rPr>
          <w:rFonts w:ascii="Times New Roman" w:hAnsi="Times New Roman" w:cs="Times New Roman"/>
          <w:sz w:val="24"/>
          <w:szCs w:val="24"/>
        </w:rPr>
        <w:t>u</w:t>
      </w:r>
      <w:r w:rsidRPr="006B607B">
        <w:rPr>
          <w:rFonts w:ascii="Times New Roman" w:hAnsi="Times New Roman" w:cs="Times New Roman"/>
          <w:sz w:val="24"/>
          <w:szCs w:val="24"/>
        </w:rPr>
        <w:t xml:space="preserve"> i izvedben</w:t>
      </w:r>
      <w:r w:rsidR="002D4AEF" w:rsidRPr="006B607B">
        <w:rPr>
          <w:rFonts w:ascii="Times New Roman" w:hAnsi="Times New Roman" w:cs="Times New Roman"/>
          <w:sz w:val="24"/>
          <w:szCs w:val="24"/>
        </w:rPr>
        <w:t>u</w:t>
      </w:r>
      <w:r w:rsidRPr="006B607B">
        <w:rPr>
          <w:rFonts w:ascii="Times New Roman" w:hAnsi="Times New Roman" w:cs="Times New Roman"/>
          <w:sz w:val="24"/>
          <w:szCs w:val="24"/>
        </w:rPr>
        <w:t xml:space="preserve"> proračunsk</w:t>
      </w:r>
      <w:r w:rsidR="002D4AEF" w:rsidRPr="006B607B">
        <w:rPr>
          <w:rFonts w:ascii="Times New Roman" w:hAnsi="Times New Roman" w:cs="Times New Roman"/>
          <w:sz w:val="24"/>
          <w:szCs w:val="24"/>
        </w:rPr>
        <w:t>u</w:t>
      </w:r>
      <w:r w:rsidRPr="006B607B">
        <w:rPr>
          <w:rFonts w:ascii="Times New Roman" w:hAnsi="Times New Roman" w:cs="Times New Roman"/>
          <w:sz w:val="24"/>
          <w:szCs w:val="24"/>
        </w:rPr>
        <w:t xml:space="preserve"> komponent</w:t>
      </w:r>
      <w:r w:rsidR="002D4AEF" w:rsidRPr="006B607B">
        <w:rPr>
          <w:rFonts w:ascii="Times New Roman" w:hAnsi="Times New Roman" w:cs="Times New Roman"/>
          <w:sz w:val="24"/>
          <w:szCs w:val="24"/>
        </w:rPr>
        <w:t>u</w:t>
      </w:r>
      <w:r w:rsidRPr="006B607B">
        <w:rPr>
          <w:rFonts w:ascii="Times New Roman" w:hAnsi="Times New Roman" w:cs="Times New Roman"/>
          <w:sz w:val="24"/>
          <w:szCs w:val="24"/>
        </w:rPr>
        <w:t>.</w:t>
      </w:r>
    </w:p>
    <w:p w14:paraId="14C16017" w14:textId="75D01766" w:rsidR="002D4AEF" w:rsidRPr="006B607B" w:rsidRDefault="002D4AEF" w:rsidP="00E3011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Izvor </w:t>
      </w:r>
      <w:r w:rsidRPr="006B607B">
        <w:rPr>
          <w:rFonts w:ascii="Times New Roman" w:hAnsi="Times New Roman" w:cs="Times New Roman"/>
          <w:i/>
          <w:iCs/>
          <w:sz w:val="24"/>
          <w:szCs w:val="24"/>
        </w:rPr>
        <w:t>61 Donacije</w:t>
      </w:r>
      <w:r w:rsidRPr="006B607B">
        <w:rPr>
          <w:rFonts w:ascii="Times New Roman" w:hAnsi="Times New Roman" w:cs="Times New Roman"/>
          <w:sz w:val="24"/>
          <w:szCs w:val="24"/>
        </w:rPr>
        <w:t xml:space="preserve"> odnose se na prihode i rashode ostvarene po ugovorima o donacijama. U 2024. godini nismo ostvarili takve prihode, a rashodi se ostvaruju iz prenesenih sredstava ove vrste izvora financiranja koji su bili namijenjeni podmirenju indirektnih troškova.</w:t>
      </w:r>
    </w:p>
    <w:p w14:paraId="462436A9" w14:textId="34EE0DB2" w:rsidR="00AE1F35" w:rsidRPr="006B607B" w:rsidRDefault="002D4AEF" w:rsidP="002D4AEF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Sadržaj i struktura prihoda i rashoda po izvorima financiranja će se </w:t>
      </w:r>
      <w:r w:rsidR="006C15D3" w:rsidRPr="006B607B">
        <w:rPr>
          <w:rFonts w:ascii="Times New Roman" w:hAnsi="Times New Roman" w:cs="Times New Roman"/>
          <w:sz w:val="24"/>
          <w:szCs w:val="24"/>
        </w:rPr>
        <w:t xml:space="preserve">opširnije </w:t>
      </w:r>
      <w:r w:rsidRPr="006B607B">
        <w:rPr>
          <w:rFonts w:ascii="Times New Roman" w:hAnsi="Times New Roman" w:cs="Times New Roman"/>
          <w:sz w:val="24"/>
          <w:szCs w:val="24"/>
        </w:rPr>
        <w:t xml:space="preserve">pojasniti </w:t>
      </w:r>
      <w:r w:rsidR="006C15D3" w:rsidRPr="006B607B">
        <w:rPr>
          <w:rFonts w:ascii="Times New Roman" w:hAnsi="Times New Roman" w:cs="Times New Roman"/>
          <w:sz w:val="24"/>
          <w:szCs w:val="24"/>
        </w:rPr>
        <w:t>u</w:t>
      </w:r>
      <w:r w:rsidRPr="006B607B">
        <w:rPr>
          <w:rFonts w:ascii="Times New Roman" w:hAnsi="Times New Roman" w:cs="Times New Roman"/>
          <w:sz w:val="24"/>
          <w:szCs w:val="24"/>
        </w:rPr>
        <w:t xml:space="preserve"> Obrazloženj</w:t>
      </w:r>
      <w:r w:rsidR="006C15D3" w:rsidRPr="006B607B">
        <w:rPr>
          <w:rFonts w:ascii="Times New Roman" w:hAnsi="Times New Roman" w:cs="Times New Roman"/>
          <w:sz w:val="24"/>
          <w:szCs w:val="24"/>
        </w:rPr>
        <w:t>u posebnog dijela</w:t>
      </w:r>
      <w:r w:rsidRPr="006B607B">
        <w:rPr>
          <w:rFonts w:ascii="Times New Roman" w:hAnsi="Times New Roman" w:cs="Times New Roman"/>
          <w:sz w:val="24"/>
          <w:szCs w:val="24"/>
        </w:rPr>
        <w:t xml:space="preserve"> izvršenja financijskog plana za 2024. godinu</w:t>
      </w:r>
      <w:r w:rsidR="006B607B" w:rsidRPr="006B607B">
        <w:rPr>
          <w:rFonts w:ascii="Times New Roman" w:hAnsi="Times New Roman" w:cs="Times New Roman"/>
          <w:sz w:val="24"/>
          <w:szCs w:val="24"/>
        </w:rPr>
        <w:t xml:space="preserve"> (tabela II. Posebni dio). 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56B73" w14:textId="77777777" w:rsidR="00E3011D" w:rsidRPr="006B607B" w:rsidRDefault="00E3011D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9CA6DE" w14:textId="7741A10F" w:rsidR="0078239D" w:rsidRPr="006B607B" w:rsidRDefault="0066624A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A.3. </w:t>
      </w:r>
      <w:r w:rsidR="0078239D" w:rsidRPr="006B607B">
        <w:rPr>
          <w:rFonts w:ascii="Times New Roman" w:hAnsi="Times New Roman" w:cs="Times New Roman"/>
          <w:sz w:val="24"/>
          <w:szCs w:val="24"/>
        </w:rPr>
        <w:t>IZVJEŠTAJ O RASHODIMA PREMA FUNKCIJSKOJ KLASIFIKACIJI</w:t>
      </w:r>
    </w:p>
    <w:p w14:paraId="648147AD" w14:textId="4FE452A7" w:rsidR="0078239D" w:rsidRPr="006B607B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Izvještaj o rashodima prema funkcijskoj klasifikaciji </w:t>
      </w:r>
      <w:r w:rsidR="0066624A">
        <w:rPr>
          <w:rFonts w:ascii="Times New Roman" w:hAnsi="Times New Roman" w:cs="Times New Roman"/>
          <w:sz w:val="24"/>
          <w:szCs w:val="24"/>
        </w:rPr>
        <w:t xml:space="preserve">(tabela A.3.) </w:t>
      </w:r>
      <w:r w:rsidR="00EA5F6D" w:rsidRPr="006B607B">
        <w:rPr>
          <w:rFonts w:ascii="Times New Roman" w:hAnsi="Times New Roman" w:cs="Times New Roman"/>
          <w:sz w:val="24"/>
          <w:szCs w:val="24"/>
        </w:rPr>
        <w:t>pokazuje</w:t>
      </w:r>
      <w:r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="00EA5F6D" w:rsidRPr="006B607B">
        <w:rPr>
          <w:rFonts w:ascii="Times New Roman" w:hAnsi="Times New Roman" w:cs="Times New Roman"/>
          <w:sz w:val="24"/>
          <w:szCs w:val="24"/>
        </w:rPr>
        <w:t xml:space="preserve">ukupan </w:t>
      </w:r>
      <w:r w:rsidRPr="006B607B">
        <w:rPr>
          <w:rFonts w:ascii="Times New Roman" w:hAnsi="Times New Roman" w:cs="Times New Roman"/>
          <w:sz w:val="24"/>
          <w:szCs w:val="24"/>
        </w:rPr>
        <w:t>iznos</w:t>
      </w:r>
      <w:r w:rsidR="00EA5F6D" w:rsidRPr="006B607B">
        <w:rPr>
          <w:rFonts w:ascii="Times New Roman" w:hAnsi="Times New Roman" w:cs="Times New Roman"/>
          <w:sz w:val="24"/>
          <w:szCs w:val="24"/>
        </w:rPr>
        <w:t xml:space="preserve"> </w:t>
      </w:r>
      <w:r w:rsidRPr="006B607B">
        <w:rPr>
          <w:rFonts w:ascii="Times New Roman" w:hAnsi="Times New Roman" w:cs="Times New Roman"/>
          <w:sz w:val="24"/>
          <w:szCs w:val="24"/>
        </w:rPr>
        <w:t>rashoda prema funkcijskoj klasifikaciji</w:t>
      </w:r>
      <w:r w:rsidR="00EA5F6D" w:rsidRPr="006B607B">
        <w:rPr>
          <w:rFonts w:ascii="Times New Roman" w:hAnsi="Times New Roman" w:cs="Times New Roman"/>
          <w:sz w:val="24"/>
          <w:szCs w:val="24"/>
        </w:rPr>
        <w:t xml:space="preserve"> (Istraživanje i razvoj: Opće javne usluge) u iznosu od 2.</w:t>
      </w:r>
      <w:r w:rsidR="00BA67A5" w:rsidRPr="006B607B">
        <w:rPr>
          <w:rFonts w:ascii="Times New Roman" w:hAnsi="Times New Roman" w:cs="Times New Roman"/>
          <w:sz w:val="24"/>
          <w:szCs w:val="24"/>
        </w:rPr>
        <w:t>551</w:t>
      </w:r>
      <w:r w:rsidR="00EA5F6D" w:rsidRPr="006B607B">
        <w:rPr>
          <w:rFonts w:ascii="Times New Roman" w:hAnsi="Times New Roman" w:cs="Times New Roman"/>
          <w:sz w:val="24"/>
          <w:szCs w:val="24"/>
        </w:rPr>
        <w:t>.</w:t>
      </w:r>
      <w:r w:rsidR="00BA67A5" w:rsidRPr="006B607B">
        <w:rPr>
          <w:rFonts w:ascii="Times New Roman" w:hAnsi="Times New Roman" w:cs="Times New Roman"/>
          <w:sz w:val="24"/>
          <w:szCs w:val="24"/>
        </w:rPr>
        <w:t>144</w:t>
      </w:r>
      <w:r w:rsidR="00EA5F6D" w:rsidRPr="006B607B">
        <w:rPr>
          <w:rFonts w:ascii="Times New Roman" w:hAnsi="Times New Roman" w:cs="Times New Roman"/>
          <w:sz w:val="24"/>
          <w:szCs w:val="24"/>
        </w:rPr>
        <w:t>,</w:t>
      </w:r>
      <w:r w:rsidR="00BA67A5" w:rsidRPr="006B607B">
        <w:rPr>
          <w:rFonts w:ascii="Times New Roman" w:hAnsi="Times New Roman" w:cs="Times New Roman"/>
          <w:sz w:val="24"/>
          <w:szCs w:val="24"/>
        </w:rPr>
        <w:t>32</w:t>
      </w:r>
      <w:r w:rsidR="00EA5F6D" w:rsidRPr="006B607B">
        <w:rPr>
          <w:rFonts w:ascii="Times New Roman" w:hAnsi="Times New Roman" w:cs="Times New Roman"/>
          <w:sz w:val="24"/>
          <w:szCs w:val="24"/>
        </w:rPr>
        <w:t xml:space="preserve"> EUR.</w:t>
      </w:r>
    </w:p>
    <w:p w14:paraId="1E8A35F2" w14:textId="77777777" w:rsidR="0078239D" w:rsidRPr="006B607B" w:rsidRDefault="0078239D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16E41" w14:textId="7B5B1E0A" w:rsidR="0078239D" w:rsidRPr="006B607B" w:rsidRDefault="006C15D3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 xml:space="preserve">B.1 </w:t>
      </w:r>
      <w:r w:rsidR="0078239D" w:rsidRPr="006B607B">
        <w:rPr>
          <w:rFonts w:ascii="Times New Roman" w:hAnsi="Times New Roman" w:cs="Times New Roman"/>
          <w:sz w:val="24"/>
          <w:szCs w:val="24"/>
        </w:rPr>
        <w:t xml:space="preserve">IZVJEŠTAJ RAČUNA FINANCIRANJA PREMA EKONOMSKOJ KLASIFIKACIJI I </w:t>
      </w:r>
      <w:r w:rsidRPr="006B607B">
        <w:rPr>
          <w:rFonts w:ascii="Times New Roman" w:hAnsi="Times New Roman" w:cs="Times New Roman"/>
          <w:sz w:val="24"/>
          <w:szCs w:val="24"/>
        </w:rPr>
        <w:t xml:space="preserve">B.2 IZVJEŠTAJ RAČUNA FINANCIRANJA </w:t>
      </w:r>
      <w:r w:rsidR="0078239D" w:rsidRPr="006B607B">
        <w:rPr>
          <w:rFonts w:ascii="Times New Roman" w:hAnsi="Times New Roman" w:cs="Times New Roman"/>
          <w:sz w:val="24"/>
          <w:szCs w:val="24"/>
        </w:rPr>
        <w:t>PREMA IZVORIMA FINANCIRANJA</w:t>
      </w:r>
    </w:p>
    <w:p w14:paraId="34707FA5" w14:textId="719C720C" w:rsidR="006C15D3" w:rsidRPr="006B607B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Izvještaj računa financiranja prema ekonomskoj klasifikaciji (B</w:t>
      </w:r>
      <w:r w:rsidR="006C15D3" w:rsidRPr="006B607B">
        <w:rPr>
          <w:rFonts w:ascii="Times New Roman" w:hAnsi="Times New Roman" w:cs="Times New Roman"/>
          <w:sz w:val="24"/>
          <w:szCs w:val="24"/>
        </w:rPr>
        <w:t>.</w:t>
      </w:r>
      <w:r w:rsidRPr="006B607B">
        <w:rPr>
          <w:rFonts w:ascii="Times New Roman" w:hAnsi="Times New Roman" w:cs="Times New Roman"/>
          <w:sz w:val="24"/>
          <w:szCs w:val="24"/>
        </w:rPr>
        <w:t>1) pokazuj</w:t>
      </w:r>
      <w:r w:rsidR="006C15D3" w:rsidRPr="006B607B">
        <w:rPr>
          <w:rFonts w:ascii="Times New Roman" w:hAnsi="Times New Roman" w:cs="Times New Roman"/>
          <w:sz w:val="24"/>
          <w:szCs w:val="24"/>
        </w:rPr>
        <w:t>e</w:t>
      </w:r>
      <w:r w:rsidRPr="006B607B">
        <w:rPr>
          <w:rFonts w:ascii="Times New Roman" w:hAnsi="Times New Roman" w:cs="Times New Roman"/>
          <w:sz w:val="24"/>
          <w:szCs w:val="24"/>
        </w:rPr>
        <w:t xml:space="preserve"> da Ekonomski institut, Zagreb nije imao zaduživanja u 202</w:t>
      </w:r>
      <w:r w:rsidR="006C15D3" w:rsidRPr="006B607B">
        <w:rPr>
          <w:rFonts w:ascii="Times New Roman" w:hAnsi="Times New Roman" w:cs="Times New Roman"/>
          <w:sz w:val="24"/>
          <w:szCs w:val="24"/>
        </w:rPr>
        <w:t>4</w:t>
      </w:r>
      <w:r w:rsidRPr="006B607B">
        <w:rPr>
          <w:rFonts w:ascii="Times New Roman" w:hAnsi="Times New Roman" w:cs="Times New Roman"/>
          <w:sz w:val="24"/>
          <w:szCs w:val="24"/>
        </w:rPr>
        <w:t>. godini, te da je imao izdatke koji predstavljaju četiri plaćene kvartalne rate glavnice kredita. U 2014. godini s Hrvatskom bankom za obnovu i razvoj (HBOR-om) ugovoren je namjenski kredit za podmirivanje troškova poboljšanja energetske učinkovitosti zgrade Ekonomskog instituta s planom otplate do 31.03.2028. godine. Vraća se HBOR-u u kvartalnim ratama</w:t>
      </w:r>
      <w:r w:rsidR="006C15D3" w:rsidRPr="006B607B">
        <w:rPr>
          <w:rFonts w:ascii="Times New Roman" w:hAnsi="Times New Roman" w:cs="Times New Roman"/>
          <w:sz w:val="24"/>
          <w:szCs w:val="24"/>
        </w:rPr>
        <w:t>.</w:t>
      </w:r>
    </w:p>
    <w:p w14:paraId="42A84FE3" w14:textId="19D01F7D" w:rsidR="00395589" w:rsidRPr="006B607B" w:rsidRDefault="006C15D3" w:rsidP="00395589">
      <w:pPr>
        <w:jc w:val="both"/>
        <w:rPr>
          <w:rFonts w:ascii="Times New Roman" w:hAnsi="Times New Roman" w:cs="Times New Roman"/>
          <w:sz w:val="24"/>
          <w:szCs w:val="24"/>
        </w:rPr>
      </w:pPr>
      <w:r w:rsidRPr="006B607B">
        <w:rPr>
          <w:rFonts w:ascii="Times New Roman" w:hAnsi="Times New Roman" w:cs="Times New Roman"/>
          <w:sz w:val="24"/>
          <w:szCs w:val="24"/>
        </w:rPr>
        <w:t>Izvještaj računa financiranja prema izvorima financiranja (B.2) pokazuje da se kredit</w:t>
      </w:r>
      <w:r w:rsidR="00395589" w:rsidRPr="006B607B">
        <w:rPr>
          <w:rFonts w:ascii="Times New Roman" w:hAnsi="Times New Roman" w:cs="Times New Roman"/>
          <w:sz w:val="24"/>
          <w:szCs w:val="24"/>
        </w:rPr>
        <w:t xml:space="preserve"> podmiruje iz vlastitih sredstava Ekonomskog instituta, Zagreb.</w:t>
      </w:r>
    </w:p>
    <w:p w14:paraId="7C5DB977" w14:textId="77777777" w:rsidR="00EA5F6D" w:rsidRPr="006B607B" w:rsidRDefault="00EA5F6D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43AAE4" w14:textId="77777777" w:rsidR="00395589" w:rsidRPr="006B607B" w:rsidRDefault="00395589" w:rsidP="0039558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422D73" w14:textId="04F4C330" w:rsidR="00944AFC" w:rsidRPr="006B607B" w:rsidRDefault="00944AFC" w:rsidP="006375D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44AFC" w:rsidRPr="006B60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D056A"/>
    <w:multiLevelType w:val="hybridMultilevel"/>
    <w:tmpl w:val="127A2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93115"/>
    <w:multiLevelType w:val="hybridMultilevel"/>
    <w:tmpl w:val="65AE4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12187"/>
    <w:multiLevelType w:val="hybridMultilevel"/>
    <w:tmpl w:val="6016BFC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F796E"/>
    <w:multiLevelType w:val="hybridMultilevel"/>
    <w:tmpl w:val="84BC82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8007DE"/>
    <w:multiLevelType w:val="hybridMultilevel"/>
    <w:tmpl w:val="0918263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835B2"/>
    <w:multiLevelType w:val="hybridMultilevel"/>
    <w:tmpl w:val="7E10A4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1421468"/>
    <w:multiLevelType w:val="hybridMultilevel"/>
    <w:tmpl w:val="E31668DA"/>
    <w:lvl w:ilvl="0" w:tplc="22E4D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BE41BB"/>
    <w:multiLevelType w:val="hybridMultilevel"/>
    <w:tmpl w:val="DDA6B874"/>
    <w:lvl w:ilvl="0" w:tplc="D7F09F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21907"/>
    <w:multiLevelType w:val="hybridMultilevel"/>
    <w:tmpl w:val="B4F0FD30"/>
    <w:lvl w:ilvl="0" w:tplc="041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9" w15:restartNumberingAfterBreak="0">
    <w:nsid w:val="77460A8C"/>
    <w:multiLevelType w:val="hybridMultilevel"/>
    <w:tmpl w:val="9E966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513188">
    <w:abstractNumId w:val="1"/>
  </w:num>
  <w:num w:numId="2" w16cid:durableId="252474665">
    <w:abstractNumId w:val="0"/>
  </w:num>
  <w:num w:numId="3" w16cid:durableId="816342351">
    <w:abstractNumId w:val="5"/>
  </w:num>
  <w:num w:numId="4" w16cid:durableId="799227514">
    <w:abstractNumId w:val="6"/>
  </w:num>
  <w:num w:numId="5" w16cid:durableId="1260135590">
    <w:abstractNumId w:val="7"/>
  </w:num>
  <w:num w:numId="6" w16cid:durableId="1649699457">
    <w:abstractNumId w:val="3"/>
  </w:num>
  <w:num w:numId="7" w16cid:durableId="292518428">
    <w:abstractNumId w:val="9"/>
  </w:num>
  <w:num w:numId="8" w16cid:durableId="271789169">
    <w:abstractNumId w:val="2"/>
  </w:num>
  <w:num w:numId="9" w16cid:durableId="1228494419">
    <w:abstractNumId w:val="8"/>
  </w:num>
  <w:num w:numId="10" w16cid:durableId="14797659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FC"/>
    <w:rsid w:val="00002D25"/>
    <w:rsid w:val="000041A8"/>
    <w:rsid w:val="00017514"/>
    <w:rsid w:val="00033235"/>
    <w:rsid w:val="000417DE"/>
    <w:rsid w:val="000A34D2"/>
    <w:rsid w:val="000B0C40"/>
    <w:rsid w:val="000C0A6B"/>
    <w:rsid w:val="000E21CC"/>
    <w:rsid w:val="000F3F6B"/>
    <w:rsid w:val="000F7207"/>
    <w:rsid w:val="00125A89"/>
    <w:rsid w:val="00126A7A"/>
    <w:rsid w:val="001324F9"/>
    <w:rsid w:val="00152AC3"/>
    <w:rsid w:val="001539BF"/>
    <w:rsid w:val="00154D2C"/>
    <w:rsid w:val="00170768"/>
    <w:rsid w:val="00181329"/>
    <w:rsid w:val="00187656"/>
    <w:rsid w:val="00192445"/>
    <w:rsid w:val="00194CB6"/>
    <w:rsid w:val="001C4BDA"/>
    <w:rsid w:val="001E0548"/>
    <w:rsid w:val="00205C01"/>
    <w:rsid w:val="002137A1"/>
    <w:rsid w:val="00247A31"/>
    <w:rsid w:val="002617A9"/>
    <w:rsid w:val="002869D0"/>
    <w:rsid w:val="002B1727"/>
    <w:rsid w:val="002D2AA3"/>
    <w:rsid w:val="002D4AEF"/>
    <w:rsid w:val="002F31C0"/>
    <w:rsid w:val="002F5759"/>
    <w:rsid w:val="00340FB5"/>
    <w:rsid w:val="00342C4A"/>
    <w:rsid w:val="0038008B"/>
    <w:rsid w:val="003935F6"/>
    <w:rsid w:val="00395589"/>
    <w:rsid w:val="003C60DB"/>
    <w:rsid w:val="003D2951"/>
    <w:rsid w:val="003D2A22"/>
    <w:rsid w:val="003D3477"/>
    <w:rsid w:val="003E1731"/>
    <w:rsid w:val="00405212"/>
    <w:rsid w:val="00422F52"/>
    <w:rsid w:val="0043211F"/>
    <w:rsid w:val="004460ED"/>
    <w:rsid w:val="00464332"/>
    <w:rsid w:val="0046515F"/>
    <w:rsid w:val="00467816"/>
    <w:rsid w:val="00482BFB"/>
    <w:rsid w:val="004C4175"/>
    <w:rsid w:val="004E20DA"/>
    <w:rsid w:val="004F288D"/>
    <w:rsid w:val="004F445A"/>
    <w:rsid w:val="00500D7E"/>
    <w:rsid w:val="0051329D"/>
    <w:rsid w:val="00527D78"/>
    <w:rsid w:val="0054556B"/>
    <w:rsid w:val="005541EE"/>
    <w:rsid w:val="00585F31"/>
    <w:rsid w:val="005A0321"/>
    <w:rsid w:val="005A5B2A"/>
    <w:rsid w:val="005B1C99"/>
    <w:rsid w:val="005D335C"/>
    <w:rsid w:val="005F036A"/>
    <w:rsid w:val="00616331"/>
    <w:rsid w:val="00636A6F"/>
    <w:rsid w:val="006375D9"/>
    <w:rsid w:val="00643580"/>
    <w:rsid w:val="0065772D"/>
    <w:rsid w:val="006660E7"/>
    <w:rsid w:val="0066624A"/>
    <w:rsid w:val="00673BF0"/>
    <w:rsid w:val="00681D20"/>
    <w:rsid w:val="006902F4"/>
    <w:rsid w:val="00692B76"/>
    <w:rsid w:val="006A4CB4"/>
    <w:rsid w:val="006B607B"/>
    <w:rsid w:val="006C15D3"/>
    <w:rsid w:val="006C6823"/>
    <w:rsid w:val="006E5B7F"/>
    <w:rsid w:val="006F0CBD"/>
    <w:rsid w:val="007023F0"/>
    <w:rsid w:val="00725B84"/>
    <w:rsid w:val="00753971"/>
    <w:rsid w:val="0076134C"/>
    <w:rsid w:val="0078239D"/>
    <w:rsid w:val="0078273A"/>
    <w:rsid w:val="007974B0"/>
    <w:rsid w:val="007A32E8"/>
    <w:rsid w:val="007C4967"/>
    <w:rsid w:val="007D5567"/>
    <w:rsid w:val="007F65E2"/>
    <w:rsid w:val="00812706"/>
    <w:rsid w:val="00846A8F"/>
    <w:rsid w:val="008508D3"/>
    <w:rsid w:val="008562AE"/>
    <w:rsid w:val="008572BE"/>
    <w:rsid w:val="00860CB4"/>
    <w:rsid w:val="00887B51"/>
    <w:rsid w:val="0089333E"/>
    <w:rsid w:val="008B1DFB"/>
    <w:rsid w:val="008B76C3"/>
    <w:rsid w:val="008C0263"/>
    <w:rsid w:val="008E29AF"/>
    <w:rsid w:val="00926FF2"/>
    <w:rsid w:val="00936A3D"/>
    <w:rsid w:val="00944AFC"/>
    <w:rsid w:val="00946D27"/>
    <w:rsid w:val="00950FD0"/>
    <w:rsid w:val="00953CE6"/>
    <w:rsid w:val="009B33F7"/>
    <w:rsid w:val="009E6600"/>
    <w:rsid w:val="00A01EAB"/>
    <w:rsid w:val="00A04B6D"/>
    <w:rsid w:val="00A11C0B"/>
    <w:rsid w:val="00A64E74"/>
    <w:rsid w:val="00AB1D71"/>
    <w:rsid w:val="00AE1F35"/>
    <w:rsid w:val="00AF6CBB"/>
    <w:rsid w:val="00B0085A"/>
    <w:rsid w:val="00B02D71"/>
    <w:rsid w:val="00B463CE"/>
    <w:rsid w:val="00B61991"/>
    <w:rsid w:val="00B939B5"/>
    <w:rsid w:val="00BA04DA"/>
    <w:rsid w:val="00BA67A5"/>
    <w:rsid w:val="00BB0F28"/>
    <w:rsid w:val="00BD0761"/>
    <w:rsid w:val="00BF1E18"/>
    <w:rsid w:val="00C13921"/>
    <w:rsid w:val="00C17840"/>
    <w:rsid w:val="00C21823"/>
    <w:rsid w:val="00C30C00"/>
    <w:rsid w:val="00C3322C"/>
    <w:rsid w:val="00C4288A"/>
    <w:rsid w:val="00C54249"/>
    <w:rsid w:val="00C568F7"/>
    <w:rsid w:val="00C72ECE"/>
    <w:rsid w:val="00C85062"/>
    <w:rsid w:val="00C96721"/>
    <w:rsid w:val="00CA7482"/>
    <w:rsid w:val="00CC4F8F"/>
    <w:rsid w:val="00CD1BBA"/>
    <w:rsid w:val="00CF10AA"/>
    <w:rsid w:val="00D1133B"/>
    <w:rsid w:val="00D15A3B"/>
    <w:rsid w:val="00D2190A"/>
    <w:rsid w:val="00D44E4E"/>
    <w:rsid w:val="00D471CE"/>
    <w:rsid w:val="00D478FA"/>
    <w:rsid w:val="00D71A1D"/>
    <w:rsid w:val="00D75F2B"/>
    <w:rsid w:val="00D93122"/>
    <w:rsid w:val="00DB1586"/>
    <w:rsid w:val="00DB6F50"/>
    <w:rsid w:val="00E22C76"/>
    <w:rsid w:val="00E3011D"/>
    <w:rsid w:val="00E34887"/>
    <w:rsid w:val="00E503B9"/>
    <w:rsid w:val="00E5237D"/>
    <w:rsid w:val="00E87F4B"/>
    <w:rsid w:val="00EA5F6D"/>
    <w:rsid w:val="00EC5E64"/>
    <w:rsid w:val="00F0407F"/>
    <w:rsid w:val="00F152BE"/>
    <w:rsid w:val="00F25C6E"/>
    <w:rsid w:val="00F3276D"/>
    <w:rsid w:val="00F36CE7"/>
    <w:rsid w:val="00F42C6D"/>
    <w:rsid w:val="00F443B4"/>
    <w:rsid w:val="00F466A8"/>
    <w:rsid w:val="00F504C4"/>
    <w:rsid w:val="00F6677E"/>
    <w:rsid w:val="00F75ABB"/>
    <w:rsid w:val="00F82BF4"/>
    <w:rsid w:val="00F903B5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0B5C3"/>
  <w15:chartTrackingRefBased/>
  <w15:docId w15:val="{FACA1546-75C2-481B-A247-D42EB12A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47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26A7A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11</cp:revision>
  <cp:lastPrinted>2024-03-13T14:27:00Z</cp:lastPrinted>
  <dcterms:created xsi:type="dcterms:W3CDTF">2025-03-19T11:37:00Z</dcterms:created>
  <dcterms:modified xsi:type="dcterms:W3CDTF">2025-03-26T09:23:00Z</dcterms:modified>
</cp:coreProperties>
</file>